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595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53D004C" w14:textId="77777777" w:rsidTr="005F7F7E">
        <w:tc>
          <w:tcPr>
            <w:tcW w:w="2438" w:type="dxa"/>
            <w:shd w:val="clear" w:color="auto" w:fill="auto"/>
          </w:tcPr>
          <w:p w14:paraId="192226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32FDBC" w14:textId="77777777" w:rsidR="00F445B1" w:rsidRPr="00F95BC9" w:rsidRDefault="0034411E" w:rsidP="004A6D2F">
            <w:pPr>
              <w:rPr>
                <w:rStyle w:val="Firstpagetablebold"/>
              </w:rPr>
            </w:pPr>
            <w:r>
              <w:rPr>
                <w:rStyle w:val="Firstpagetablebold"/>
              </w:rPr>
              <w:t>Cabinet</w:t>
            </w:r>
          </w:p>
        </w:tc>
      </w:tr>
      <w:tr w:rsidR="00CE544A" w:rsidRPr="00975B07" w14:paraId="0C4DFDB9" w14:textId="77777777" w:rsidTr="005F7F7E">
        <w:tc>
          <w:tcPr>
            <w:tcW w:w="2438" w:type="dxa"/>
            <w:shd w:val="clear" w:color="auto" w:fill="auto"/>
          </w:tcPr>
          <w:p w14:paraId="604125C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E52DF51" w14:textId="77777777" w:rsidR="00F445B1" w:rsidRPr="001356F1" w:rsidRDefault="00475C6F" w:rsidP="00EC332E">
            <w:pPr>
              <w:rPr>
                <w:b/>
              </w:rPr>
            </w:pPr>
            <w:r>
              <w:rPr>
                <w:rStyle w:val="Firstpagetablebold"/>
              </w:rPr>
              <w:t xml:space="preserve">11 </w:t>
            </w:r>
            <w:r w:rsidR="00BD2069">
              <w:rPr>
                <w:rStyle w:val="Firstpagetablebold"/>
              </w:rPr>
              <w:t xml:space="preserve">March </w:t>
            </w:r>
            <w:r w:rsidR="0034411E">
              <w:rPr>
                <w:rStyle w:val="Firstpagetablebold"/>
              </w:rPr>
              <w:t>2020</w:t>
            </w:r>
          </w:p>
        </w:tc>
      </w:tr>
      <w:tr w:rsidR="00CE544A" w:rsidRPr="00975B07" w14:paraId="7BD1B608" w14:textId="77777777" w:rsidTr="005F7F7E">
        <w:tc>
          <w:tcPr>
            <w:tcW w:w="2438" w:type="dxa"/>
            <w:shd w:val="clear" w:color="auto" w:fill="auto"/>
          </w:tcPr>
          <w:p w14:paraId="270B46C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6A6E5FB" w14:textId="77777777" w:rsidR="00F445B1" w:rsidRPr="001356F1" w:rsidRDefault="001352C8" w:rsidP="004A6D2F">
            <w:pPr>
              <w:rPr>
                <w:rStyle w:val="Firstpagetablebold"/>
              </w:rPr>
            </w:pPr>
            <w:r>
              <w:rPr>
                <w:rStyle w:val="Firstpagetablebold"/>
              </w:rPr>
              <w:t>Head of Business Improvement</w:t>
            </w:r>
          </w:p>
        </w:tc>
      </w:tr>
      <w:tr w:rsidR="00CE544A" w:rsidRPr="00975B07" w14:paraId="16CA7D4A" w14:textId="77777777" w:rsidTr="005F7F7E">
        <w:tc>
          <w:tcPr>
            <w:tcW w:w="2438" w:type="dxa"/>
            <w:shd w:val="clear" w:color="auto" w:fill="auto"/>
          </w:tcPr>
          <w:p w14:paraId="374147D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E6D00F4" w14:textId="77777777" w:rsidR="00F445B1" w:rsidRPr="001356F1" w:rsidRDefault="0034411E" w:rsidP="00E91F86">
            <w:pPr>
              <w:rPr>
                <w:rStyle w:val="Firstpagetablebold"/>
              </w:rPr>
            </w:pPr>
            <w:r>
              <w:rPr>
                <w:rStyle w:val="Firstpagetablebold"/>
              </w:rPr>
              <w:t xml:space="preserve">Gender Pay Gap </w:t>
            </w:r>
            <w:r w:rsidR="00F476CE">
              <w:rPr>
                <w:rStyle w:val="Firstpagetablebold"/>
              </w:rPr>
              <w:t>report (</w:t>
            </w:r>
            <w:r>
              <w:rPr>
                <w:rStyle w:val="Firstpagetablebold"/>
              </w:rPr>
              <w:t>reporting period 31 March 2019</w:t>
            </w:r>
            <w:r w:rsidR="00F476CE">
              <w:rPr>
                <w:rStyle w:val="Firstpagetablebold"/>
              </w:rPr>
              <w:t>)</w:t>
            </w:r>
          </w:p>
        </w:tc>
      </w:tr>
    </w:tbl>
    <w:p w14:paraId="713541E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E850AE6" w14:textId="77777777" w:rsidTr="0080749A">
        <w:tc>
          <w:tcPr>
            <w:tcW w:w="8845" w:type="dxa"/>
            <w:gridSpan w:val="3"/>
            <w:tcBorders>
              <w:bottom w:val="single" w:sz="8" w:space="0" w:color="000000"/>
            </w:tcBorders>
            <w:hideMark/>
          </w:tcPr>
          <w:p w14:paraId="232DC90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F5AC506" w14:textId="77777777" w:rsidTr="0080749A">
        <w:tc>
          <w:tcPr>
            <w:tcW w:w="2438" w:type="dxa"/>
            <w:gridSpan w:val="2"/>
            <w:tcBorders>
              <w:top w:val="single" w:sz="8" w:space="0" w:color="000000"/>
              <w:left w:val="single" w:sz="8" w:space="0" w:color="000000"/>
              <w:bottom w:val="nil"/>
              <w:right w:val="nil"/>
            </w:tcBorders>
            <w:hideMark/>
          </w:tcPr>
          <w:p w14:paraId="40FFE3B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3D07665" w14:textId="77777777" w:rsidR="00D5547E" w:rsidRPr="001356F1" w:rsidRDefault="001352C8" w:rsidP="0034411E">
            <w:r>
              <w:t xml:space="preserve">To report </w:t>
            </w:r>
            <w:r w:rsidR="0034411E">
              <w:t>the Council’s Gender Pay Gap reporting data</w:t>
            </w:r>
          </w:p>
        </w:tc>
      </w:tr>
      <w:tr w:rsidR="00D5547E" w14:paraId="7937D60F" w14:textId="77777777" w:rsidTr="0080749A">
        <w:tc>
          <w:tcPr>
            <w:tcW w:w="2438" w:type="dxa"/>
            <w:gridSpan w:val="2"/>
            <w:tcBorders>
              <w:top w:val="nil"/>
              <w:left w:val="single" w:sz="8" w:space="0" w:color="000000"/>
              <w:bottom w:val="nil"/>
              <w:right w:val="nil"/>
            </w:tcBorders>
            <w:hideMark/>
          </w:tcPr>
          <w:p w14:paraId="38456A3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A07D309" w14:textId="77777777" w:rsidR="00D5547E" w:rsidRPr="001356F1" w:rsidRDefault="001352C8" w:rsidP="005F7F7E">
            <w:r>
              <w:t>No</w:t>
            </w:r>
          </w:p>
        </w:tc>
      </w:tr>
      <w:tr w:rsidR="00D5547E" w14:paraId="39A57346" w14:textId="77777777" w:rsidTr="0080749A">
        <w:tc>
          <w:tcPr>
            <w:tcW w:w="2438" w:type="dxa"/>
            <w:gridSpan w:val="2"/>
            <w:tcBorders>
              <w:top w:val="nil"/>
              <w:left w:val="single" w:sz="8" w:space="0" w:color="000000"/>
              <w:bottom w:val="nil"/>
              <w:right w:val="nil"/>
            </w:tcBorders>
            <w:hideMark/>
          </w:tcPr>
          <w:p w14:paraId="6E1BFCD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2BF22C3" w14:textId="77777777" w:rsidR="00D5547E" w:rsidRPr="001356F1" w:rsidRDefault="00D5547E" w:rsidP="001352C8">
            <w:r w:rsidRPr="001356F1">
              <w:t xml:space="preserve">Councillor </w:t>
            </w:r>
            <w:r w:rsidR="001352C8">
              <w:t>Nigel Chapman, Safer Communities and Customer Focused Services</w:t>
            </w:r>
          </w:p>
        </w:tc>
      </w:tr>
      <w:tr w:rsidR="0080749A" w14:paraId="10F5DCD8" w14:textId="77777777" w:rsidTr="0080749A">
        <w:tc>
          <w:tcPr>
            <w:tcW w:w="2438" w:type="dxa"/>
            <w:gridSpan w:val="2"/>
            <w:tcBorders>
              <w:top w:val="nil"/>
              <w:left w:val="single" w:sz="8" w:space="0" w:color="000000"/>
              <w:bottom w:val="nil"/>
              <w:right w:val="nil"/>
            </w:tcBorders>
          </w:tcPr>
          <w:p w14:paraId="1B44158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DF9BDDF" w14:textId="77777777" w:rsidR="0080749A" w:rsidRPr="001356F1" w:rsidRDefault="001352C8" w:rsidP="005F7F7E">
            <w:r w:rsidRPr="00153A5A">
              <w:rPr>
                <w:rFonts w:eastAsia="Arial Unicode MS" w:cs="Arial"/>
                <w:iCs/>
              </w:rPr>
              <w:t xml:space="preserve">An efficient and effective Council: our ambition is for a customer –focused organisation, delivering efficient, high quality services that meet people’s needs.  </w:t>
            </w:r>
          </w:p>
        </w:tc>
      </w:tr>
      <w:tr w:rsidR="00D5547E" w14:paraId="22D012D5" w14:textId="77777777" w:rsidTr="0080749A">
        <w:tc>
          <w:tcPr>
            <w:tcW w:w="2438" w:type="dxa"/>
            <w:gridSpan w:val="2"/>
            <w:tcBorders>
              <w:top w:val="nil"/>
              <w:left w:val="single" w:sz="8" w:space="0" w:color="000000"/>
              <w:bottom w:val="nil"/>
              <w:right w:val="nil"/>
            </w:tcBorders>
            <w:hideMark/>
          </w:tcPr>
          <w:p w14:paraId="43261339"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6BC59DC" w14:textId="53AA4823" w:rsidR="00D5547E" w:rsidRPr="001356F1" w:rsidRDefault="00FE1FCD" w:rsidP="005F7F7E">
            <w:r>
              <w:t>Corporate Plan 2016-2020</w:t>
            </w:r>
          </w:p>
        </w:tc>
      </w:tr>
      <w:tr w:rsidR="005F7F7E" w:rsidRPr="00975B07" w14:paraId="7D33EC0F" w14:textId="77777777" w:rsidTr="00A46E98">
        <w:trPr>
          <w:trHeight w:val="413"/>
        </w:trPr>
        <w:tc>
          <w:tcPr>
            <w:tcW w:w="8845" w:type="dxa"/>
            <w:gridSpan w:val="3"/>
            <w:tcBorders>
              <w:bottom w:val="single" w:sz="8" w:space="0" w:color="000000"/>
            </w:tcBorders>
          </w:tcPr>
          <w:p w14:paraId="236F3AEA" w14:textId="469E36F7" w:rsidR="005F7F7E" w:rsidRPr="00975B07" w:rsidRDefault="000503EC" w:rsidP="000503EC">
            <w:r>
              <w:rPr>
                <w:rStyle w:val="Firstpagetablebold"/>
              </w:rPr>
              <w:t>Recommendation</w:t>
            </w:r>
            <w:r w:rsidR="005F7F7E">
              <w:rPr>
                <w:rStyle w:val="Firstpagetablebold"/>
              </w:rPr>
              <w:t>s:</w:t>
            </w:r>
            <w:r w:rsidR="00FE1FCD">
              <w:rPr>
                <w:rStyle w:val="Firstpagetablebold"/>
              </w:rPr>
              <w:t xml:space="preserve"> </w:t>
            </w:r>
            <w:r w:rsidR="005F7F7E" w:rsidRPr="000503EC">
              <w:rPr>
                <w:rStyle w:val="Firstpagetablebold"/>
                <w:b w:val="0"/>
              </w:rPr>
              <w:t xml:space="preserve">That </w:t>
            </w:r>
            <w:r w:rsidR="009341BB" w:rsidRPr="000503EC">
              <w:rPr>
                <w:rStyle w:val="Firstpagetablebold"/>
                <w:b w:val="0"/>
              </w:rPr>
              <w:t xml:space="preserve">Cabinet </w:t>
            </w:r>
            <w:r w:rsidRPr="000503EC">
              <w:rPr>
                <w:rStyle w:val="Firstpagetablebold"/>
                <w:b w:val="0"/>
              </w:rPr>
              <w:t xml:space="preserve"> resolves to:</w:t>
            </w:r>
          </w:p>
        </w:tc>
      </w:tr>
      <w:tr w:rsidR="0030208D" w:rsidRPr="00975B07" w14:paraId="15D5462A" w14:textId="77777777" w:rsidTr="00A46E98">
        <w:trPr>
          <w:trHeight w:val="283"/>
        </w:trPr>
        <w:tc>
          <w:tcPr>
            <w:tcW w:w="426" w:type="dxa"/>
            <w:tcBorders>
              <w:top w:val="single" w:sz="8" w:space="0" w:color="000000"/>
              <w:left w:val="single" w:sz="8" w:space="0" w:color="000000"/>
              <w:bottom w:val="nil"/>
              <w:right w:val="nil"/>
            </w:tcBorders>
          </w:tcPr>
          <w:p w14:paraId="4BF3FF79"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A9CA0E4" w14:textId="6DDBFC48" w:rsidR="0030208D" w:rsidRPr="009341BB" w:rsidRDefault="001352C8" w:rsidP="009341BB">
            <w:pPr>
              <w:rPr>
                <w:b/>
              </w:rPr>
            </w:pPr>
            <w:r w:rsidRPr="009341BB">
              <w:rPr>
                <w:rStyle w:val="Firstpagetablebold"/>
              </w:rPr>
              <w:t>Note</w:t>
            </w:r>
            <w:r w:rsidRPr="009341BB">
              <w:rPr>
                <w:rStyle w:val="Firstpagetablebold"/>
                <w:b w:val="0"/>
              </w:rPr>
              <w:t xml:space="preserve"> the </w:t>
            </w:r>
            <w:r w:rsidR="009341BB" w:rsidRPr="009341BB">
              <w:rPr>
                <w:rStyle w:val="Firstpagetablebold"/>
                <w:b w:val="0"/>
              </w:rPr>
              <w:t>contents of the report and Gender Pay Gap table at Appendix 1</w:t>
            </w:r>
            <w:r w:rsidR="000503EC">
              <w:rPr>
                <w:rStyle w:val="Firstpagetablebold"/>
                <w:b w:val="0"/>
              </w:rPr>
              <w:t xml:space="preserve">; and </w:t>
            </w:r>
          </w:p>
        </w:tc>
      </w:tr>
      <w:tr w:rsidR="009341BB" w:rsidRPr="00975B07" w14:paraId="472D9594" w14:textId="77777777" w:rsidTr="009341BB">
        <w:trPr>
          <w:trHeight w:val="283"/>
        </w:trPr>
        <w:tc>
          <w:tcPr>
            <w:tcW w:w="426" w:type="dxa"/>
            <w:tcBorders>
              <w:top w:val="nil"/>
              <w:left w:val="single" w:sz="8" w:space="0" w:color="000000"/>
              <w:bottom w:val="nil"/>
              <w:right w:val="nil"/>
            </w:tcBorders>
          </w:tcPr>
          <w:p w14:paraId="31F16BFC" w14:textId="77777777" w:rsidR="009341BB" w:rsidRPr="00975B07" w:rsidRDefault="009341BB" w:rsidP="009341BB">
            <w:r w:rsidRPr="00975B07">
              <w:t>2.</w:t>
            </w:r>
          </w:p>
        </w:tc>
        <w:tc>
          <w:tcPr>
            <w:tcW w:w="8419" w:type="dxa"/>
            <w:gridSpan w:val="2"/>
            <w:tcBorders>
              <w:top w:val="nil"/>
              <w:left w:val="nil"/>
              <w:bottom w:val="nil"/>
              <w:right w:val="single" w:sz="8" w:space="0" w:color="000000"/>
            </w:tcBorders>
            <w:shd w:val="clear" w:color="auto" w:fill="auto"/>
          </w:tcPr>
          <w:p w14:paraId="15C87B44" w14:textId="77777777" w:rsidR="009341BB" w:rsidRPr="009341BB" w:rsidRDefault="009341BB" w:rsidP="009341BB">
            <w:r w:rsidRPr="009341BB">
              <w:rPr>
                <w:b/>
              </w:rPr>
              <w:t>Delegates authority</w:t>
            </w:r>
            <w:r w:rsidRPr="009341BB">
              <w:t xml:space="preserve"> to the Head of Business Improvement to publish</w:t>
            </w:r>
          </w:p>
        </w:tc>
      </w:tr>
      <w:tr w:rsidR="009341BB" w:rsidRPr="00975B07" w14:paraId="358111FD" w14:textId="77777777" w:rsidTr="006126A3">
        <w:trPr>
          <w:trHeight w:val="283"/>
        </w:trPr>
        <w:tc>
          <w:tcPr>
            <w:tcW w:w="426" w:type="dxa"/>
            <w:tcBorders>
              <w:top w:val="nil"/>
              <w:left w:val="single" w:sz="8" w:space="0" w:color="000000"/>
              <w:bottom w:val="single" w:sz="8" w:space="0" w:color="000000"/>
              <w:right w:val="nil"/>
            </w:tcBorders>
          </w:tcPr>
          <w:p w14:paraId="3AD0193F" w14:textId="77777777" w:rsidR="009341BB" w:rsidRPr="00975B07" w:rsidRDefault="009341BB" w:rsidP="009341BB"/>
        </w:tc>
        <w:tc>
          <w:tcPr>
            <w:tcW w:w="8419" w:type="dxa"/>
            <w:gridSpan w:val="2"/>
            <w:tcBorders>
              <w:top w:val="nil"/>
              <w:left w:val="nil"/>
              <w:bottom w:val="single" w:sz="8" w:space="0" w:color="000000"/>
              <w:right w:val="single" w:sz="8" w:space="0" w:color="000000"/>
            </w:tcBorders>
            <w:shd w:val="clear" w:color="auto" w:fill="auto"/>
          </w:tcPr>
          <w:p w14:paraId="5C654E7E" w14:textId="77777777" w:rsidR="009341BB" w:rsidRPr="009341BB" w:rsidRDefault="009341BB" w:rsidP="00372265">
            <w:r w:rsidRPr="009341BB">
              <w:t>the table at Appendix 1 to this report</w:t>
            </w:r>
            <w:r w:rsidR="002754C4">
              <w:t xml:space="preserve"> before the deadline of 3</w:t>
            </w:r>
            <w:r w:rsidR="00372265">
              <w:t>0</w:t>
            </w:r>
            <w:r w:rsidR="002754C4">
              <w:t xml:space="preserve"> March 2020</w:t>
            </w:r>
          </w:p>
        </w:tc>
      </w:tr>
    </w:tbl>
    <w:p w14:paraId="339BE51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489"/>
      </w:tblGrid>
      <w:tr w:rsidR="00966D42" w:rsidRPr="00975B07" w14:paraId="2859CCAF" w14:textId="77777777" w:rsidTr="00306FFB">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tcPr>
          <w:p w14:paraId="7EAF5B98" w14:textId="77777777" w:rsidR="00966D42" w:rsidRPr="00975B07" w:rsidRDefault="00966D42" w:rsidP="00263EA3">
            <w:pPr>
              <w:jc w:val="center"/>
            </w:pPr>
            <w:r w:rsidRPr="00745BF0">
              <w:rPr>
                <w:rStyle w:val="Firstpagetablebold"/>
              </w:rPr>
              <w:t>Appendices</w:t>
            </w:r>
          </w:p>
        </w:tc>
      </w:tr>
      <w:tr w:rsidR="00ED5860" w:rsidRPr="00975B07" w14:paraId="5BFC7B3D" w14:textId="77777777" w:rsidTr="00306FFB">
        <w:tc>
          <w:tcPr>
            <w:tcW w:w="1442" w:type="dxa"/>
            <w:tcBorders>
              <w:top w:val="single" w:sz="8" w:space="0" w:color="000000"/>
              <w:left w:val="single" w:sz="8" w:space="0" w:color="000000"/>
              <w:bottom w:val="nil"/>
              <w:right w:val="nil"/>
            </w:tcBorders>
            <w:shd w:val="clear" w:color="auto" w:fill="auto"/>
          </w:tcPr>
          <w:p w14:paraId="180E0FCC" w14:textId="77777777" w:rsidR="00ED5860" w:rsidRPr="00306FFB" w:rsidRDefault="00ED5860" w:rsidP="00183956">
            <w:r w:rsidRPr="00306FFB">
              <w:t>Appendix 1</w:t>
            </w:r>
          </w:p>
        </w:tc>
        <w:tc>
          <w:tcPr>
            <w:tcW w:w="7489" w:type="dxa"/>
            <w:tcBorders>
              <w:top w:val="single" w:sz="8" w:space="0" w:color="000000"/>
              <w:left w:val="nil"/>
              <w:bottom w:val="nil"/>
              <w:right w:val="single" w:sz="8" w:space="0" w:color="000000"/>
            </w:tcBorders>
          </w:tcPr>
          <w:p w14:paraId="6E80BDC1" w14:textId="3CB9EEAC" w:rsidR="00183956" w:rsidRPr="00306FFB" w:rsidRDefault="009341BB" w:rsidP="00306FFB">
            <w:r w:rsidRPr="00306FFB">
              <w:t>Gender Pay Gap data tables (31 March 20</w:t>
            </w:r>
            <w:r w:rsidR="002754C4" w:rsidRPr="00306FFB">
              <w:t>19</w:t>
            </w:r>
            <w:r w:rsidRPr="00306FFB">
              <w:t>)</w:t>
            </w:r>
          </w:p>
        </w:tc>
      </w:tr>
      <w:tr w:rsidR="00247252" w:rsidRPr="00975B07" w14:paraId="470FD183" w14:textId="77777777" w:rsidTr="00306FFB">
        <w:tc>
          <w:tcPr>
            <w:tcW w:w="1442" w:type="dxa"/>
            <w:tcBorders>
              <w:top w:val="nil"/>
              <w:left w:val="single" w:sz="8" w:space="0" w:color="000000"/>
              <w:bottom w:val="nil"/>
              <w:right w:val="nil"/>
            </w:tcBorders>
            <w:shd w:val="clear" w:color="auto" w:fill="auto"/>
          </w:tcPr>
          <w:p w14:paraId="0010C32F" w14:textId="77777777" w:rsidR="00247252" w:rsidRPr="00306FFB" w:rsidRDefault="00247252" w:rsidP="00183956">
            <w:r w:rsidRPr="00306FFB">
              <w:t>Appendix 2</w:t>
            </w:r>
          </w:p>
        </w:tc>
        <w:tc>
          <w:tcPr>
            <w:tcW w:w="7489" w:type="dxa"/>
            <w:tcBorders>
              <w:top w:val="nil"/>
              <w:left w:val="nil"/>
              <w:bottom w:val="nil"/>
              <w:right w:val="single" w:sz="8" w:space="0" w:color="000000"/>
            </w:tcBorders>
          </w:tcPr>
          <w:p w14:paraId="1E1C8465" w14:textId="44061653" w:rsidR="00183956" w:rsidRPr="00306FFB" w:rsidRDefault="00812A02" w:rsidP="00306FFB">
            <w:pPr>
              <w:spacing w:line="276" w:lineRule="auto"/>
            </w:pPr>
            <w:bookmarkStart w:id="0" w:name="_GoBack"/>
            <w:bookmarkEnd w:id="0"/>
            <w:r w:rsidRPr="00306FFB">
              <w:t xml:space="preserve">Gender Pay Gap data tables (31 March 2018 </w:t>
            </w:r>
            <w:r w:rsidR="00324D29" w:rsidRPr="00306FFB">
              <w:t>&amp;</w:t>
            </w:r>
            <w:r w:rsidRPr="00306FFB">
              <w:t xml:space="preserve"> 31 March 2018)</w:t>
            </w:r>
          </w:p>
        </w:tc>
      </w:tr>
      <w:tr w:rsidR="00247252" w:rsidRPr="00183956" w14:paraId="5E24C269" w14:textId="77777777" w:rsidTr="00306FFB">
        <w:tc>
          <w:tcPr>
            <w:tcW w:w="1442" w:type="dxa"/>
            <w:tcBorders>
              <w:top w:val="nil"/>
              <w:left w:val="single" w:sz="8" w:space="0" w:color="000000"/>
              <w:bottom w:val="nil"/>
              <w:right w:val="nil"/>
            </w:tcBorders>
            <w:shd w:val="clear" w:color="auto" w:fill="auto"/>
          </w:tcPr>
          <w:p w14:paraId="44E56642" w14:textId="77777777" w:rsidR="00247252" w:rsidRPr="00306FFB" w:rsidRDefault="00247252" w:rsidP="00247252">
            <w:r w:rsidRPr="00306FFB">
              <w:t>Appendix 3</w:t>
            </w:r>
          </w:p>
        </w:tc>
        <w:tc>
          <w:tcPr>
            <w:tcW w:w="7489" w:type="dxa"/>
            <w:tcBorders>
              <w:top w:val="nil"/>
              <w:left w:val="nil"/>
              <w:bottom w:val="nil"/>
              <w:right w:val="single" w:sz="8" w:space="0" w:color="000000"/>
            </w:tcBorders>
          </w:tcPr>
          <w:p w14:paraId="2F90B962" w14:textId="25C2A4B8" w:rsidR="00306FFB" w:rsidRPr="00306FFB" w:rsidRDefault="00C31163" w:rsidP="00306FFB">
            <w:pPr>
              <w:spacing w:after="0" w:line="276" w:lineRule="auto"/>
            </w:pPr>
            <w:r w:rsidRPr="00306FFB">
              <w:t>Distribution of Council staff by grade &amp; gender (31 March 2019)</w:t>
            </w:r>
            <w:r w:rsidR="00183956" w:rsidRPr="00306FFB">
              <w:t xml:space="preserve"> CONFIDENTIAL</w:t>
            </w:r>
          </w:p>
        </w:tc>
      </w:tr>
      <w:tr w:rsidR="007A6E34" w:rsidRPr="00975B07" w14:paraId="539CD68E" w14:textId="77777777" w:rsidTr="00306FFB">
        <w:tc>
          <w:tcPr>
            <w:tcW w:w="1442" w:type="dxa"/>
            <w:tcBorders>
              <w:top w:val="nil"/>
              <w:left w:val="single" w:sz="8" w:space="0" w:color="000000"/>
              <w:bottom w:val="nil"/>
              <w:right w:val="nil"/>
            </w:tcBorders>
            <w:shd w:val="clear" w:color="auto" w:fill="auto"/>
          </w:tcPr>
          <w:p w14:paraId="5DD12F4E" w14:textId="77777777" w:rsidR="007A6E34" w:rsidRPr="00306FFB" w:rsidRDefault="007A6E34" w:rsidP="00247252">
            <w:r w:rsidRPr="00306FFB">
              <w:t>Appendix 4</w:t>
            </w:r>
            <w:r w:rsidR="00306FFB" w:rsidRPr="00306FFB">
              <w:t>A</w:t>
            </w:r>
          </w:p>
          <w:p w14:paraId="43431FDE" w14:textId="442D1B2D" w:rsidR="00306FFB" w:rsidRPr="00306FFB" w:rsidRDefault="00306FFB" w:rsidP="00247252">
            <w:r w:rsidRPr="00306FFB">
              <w:t>Appendix 4B</w:t>
            </w:r>
          </w:p>
        </w:tc>
        <w:tc>
          <w:tcPr>
            <w:tcW w:w="7489" w:type="dxa"/>
            <w:tcBorders>
              <w:top w:val="nil"/>
              <w:left w:val="nil"/>
              <w:bottom w:val="nil"/>
              <w:right w:val="single" w:sz="8" w:space="0" w:color="000000"/>
            </w:tcBorders>
          </w:tcPr>
          <w:p w14:paraId="0A7E02AD" w14:textId="37FE9C03" w:rsidR="007A6E34" w:rsidRPr="00306FFB" w:rsidRDefault="001A70AC" w:rsidP="00306FFB">
            <w:pPr>
              <w:spacing w:after="0" w:line="276" w:lineRule="auto"/>
            </w:pPr>
            <w:r w:rsidRPr="00306FFB">
              <w:t>Distribution of Council staff by grade &amp; gender (stacked diagram)</w:t>
            </w:r>
            <w:r w:rsidR="00183956" w:rsidRPr="00306FFB">
              <w:t xml:space="preserve"> </w:t>
            </w:r>
          </w:p>
          <w:p w14:paraId="4834CBF0" w14:textId="77777777" w:rsidR="00306FFB" w:rsidRPr="00306FFB" w:rsidRDefault="00306FFB" w:rsidP="00306FFB">
            <w:pPr>
              <w:spacing w:after="0" w:line="276" w:lineRule="auto"/>
            </w:pPr>
          </w:p>
          <w:p w14:paraId="012A6CCE" w14:textId="25AE2B5F" w:rsidR="00183956" w:rsidRPr="00306FFB" w:rsidRDefault="00306FFB" w:rsidP="00306FFB">
            <w:pPr>
              <w:spacing w:after="0" w:line="276" w:lineRule="auto"/>
            </w:pPr>
            <w:r w:rsidRPr="00306FFB">
              <w:t>Distribution of ODS staff by grade &amp; gender (stacked diagram) CONFIDENTIAL</w:t>
            </w:r>
          </w:p>
        </w:tc>
      </w:tr>
      <w:tr w:rsidR="00071471" w:rsidRPr="00975B07" w14:paraId="31DE05AE" w14:textId="77777777" w:rsidTr="00306FFB">
        <w:tc>
          <w:tcPr>
            <w:tcW w:w="1442" w:type="dxa"/>
            <w:tcBorders>
              <w:top w:val="nil"/>
              <w:left w:val="single" w:sz="8" w:space="0" w:color="000000"/>
              <w:bottom w:val="nil"/>
              <w:right w:val="nil"/>
            </w:tcBorders>
            <w:shd w:val="clear" w:color="auto" w:fill="auto"/>
          </w:tcPr>
          <w:p w14:paraId="42DFD683" w14:textId="4D20BF1D" w:rsidR="00183956" w:rsidRPr="00306FFB" w:rsidRDefault="00071471" w:rsidP="00247252">
            <w:r w:rsidRPr="00306FFB">
              <w:t>Appendix 5</w:t>
            </w:r>
          </w:p>
        </w:tc>
        <w:tc>
          <w:tcPr>
            <w:tcW w:w="7489" w:type="dxa"/>
            <w:tcBorders>
              <w:top w:val="nil"/>
              <w:left w:val="nil"/>
              <w:bottom w:val="nil"/>
              <w:right w:val="single" w:sz="8" w:space="0" w:color="000000"/>
            </w:tcBorders>
          </w:tcPr>
          <w:p w14:paraId="20352520" w14:textId="04045B0C" w:rsidR="00183956" w:rsidRPr="00306FFB" w:rsidRDefault="00071471" w:rsidP="00306FFB">
            <w:pPr>
              <w:spacing w:after="0"/>
            </w:pPr>
            <w:r w:rsidRPr="00306FFB">
              <w:t>Comparison of Gender Pay Reports (as at 31 March 2019)</w:t>
            </w:r>
          </w:p>
        </w:tc>
      </w:tr>
      <w:tr w:rsidR="006E4450" w:rsidRPr="00975B07" w14:paraId="5C2E87D8" w14:textId="77777777" w:rsidTr="00306FFB">
        <w:tc>
          <w:tcPr>
            <w:tcW w:w="1442" w:type="dxa"/>
            <w:tcBorders>
              <w:top w:val="nil"/>
              <w:left w:val="single" w:sz="8" w:space="0" w:color="000000"/>
              <w:bottom w:val="single" w:sz="8" w:space="0" w:color="000000"/>
              <w:right w:val="nil"/>
            </w:tcBorders>
            <w:shd w:val="clear" w:color="auto" w:fill="auto"/>
          </w:tcPr>
          <w:p w14:paraId="2EC412DA" w14:textId="3DB3FB67" w:rsidR="00183956" w:rsidRPr="00306FFB" w:rsidRDefault="006E4450" w:rsidP="00306FFB">
            <w:pPr>
              <w:spacing w:line="360" w:lineRule="auto"/>
            </w:pPr>
            <w:r w:rsidRPr="00306FFB">
              <w:t>Appendix 6</w:t>
            </w:r>
          </w:p>
          <w:p w14:paraId="7030D157" w14:textId="6D896684" w:rsidR="00183956" w:rsidRPr="00306FFB" w:rsidRDefault="00183956" w:rsidP="00306FFB">
            <w:pPr>
              <w:spacing w:line="360" w:lineRule="auto"/>
            </w:pPr>
            <w:r w:rsidRPr="00306FFB">
              <w:t>Appendix 7</w:t>
            </w:r>
          </w:p>
        </w:tc>
        <w:tc>
          <w:tcPr>
            <w:tcW w:w="7489" w:type="dxa"/>
            <w:tcBorders>
              <w:top w:val="nil"/>
              <w:left w:val="nil"/>
              <w:bottom w:val="single" w:sz="8" w:space="0" w:color="000000"/>
              <w:right w:val="single" w:sz="8" w:space="0" w:color="000000"/>
            </w:tcBorders>
          </w:tcPr>
          <w:p w14:paraId="33140166" w14:textId="36258339" w:rsidR="00183956" w:rsidRPr="00306FFB" w:rsidRDefault="006E4450" w:rsidP="00306FFB">
            <w:pPr>
              <w:spacing w:after="0" w:line="480" w:lineRule="auto"/>
            </w:pPr>
            <w:r w:rsidRPr="00306FFB">
              <w:t>Risk Register (separate document supplied with this report)</w:t>
            </w:r>
          </w:p>
          <w:p w14:paraId="5F70078D" w14:textId="08CF7828" w:rsidR="00183956" w:rsidRPr="00306FFB" w:rsidRDefault="00183956" w:rsidP="00306FFB">
            <w:pPr>
              <w:spacing w:after="0"/>
            </w:pPr>
            <w:r w:rsidRPr="00306FFB">
              <w:t>Distribution of ODS staff by grade and gender (31 March 2019) CONFIDENTIAL</w:t>
            </w:r>
          </w:p>
          <w:p w14:paraId="1BDBD95D" w14:textId="4B2EDA0D" w:rsidR="00183956" w:rsidRPr="00306FFB" w:rsidRDefault="00183956" w:rsidP="001A70AC">
            <w:pPr>
              <w:spacing w:after="0"/>
            </w:pPr>
          </w:p>
        </w:tc>
      </w:tr>
    </w:tbl>
    <w:p w14:paraId="2D8CC1DF" w14:textId="77777777" w:rsidR="00D933C6" w:rsidRDefault="00D933C6" w:rsidP="004A6D2F">
      <w:pPr>
        <w:pStyle w:val="Heading1"/>
      </w:pPr>
    </w:p>
    <w:p w14:paraId="0BF663CD" w14:textId="77777777" w:rsidR="0034411E" w:rsidRDefault="0034411E">
      <w:pPr>
        <w:spacing w:after="0"/>
        <w:rPr>
          <w:b/>
        </w:rPr>
      </w:pPr>
      <w:r>
        <w:lastRenderedPageBreak/>
        <w:br w:type="page"/>
      </w:r>
    </w:p>
    <w:p w14:paraId="065F7682" w14:textId="77777777" w:rsidR="0040736F" w:rsidRPr="001356F1" w:rsidRDefault="00F66DCA" w:rsidP="004A6D2F">
      <w:pPr>
        <w:pStyle w:val="Heading1"/>
      </w:pPr>
      <w:r w:rsidRPr="001356F1">
        <w:lastRenderedPageBreak/>
        <w:t xml:space="preserve">Introduction </w:t>
      </w:r>
    </w:p>
    <w:p w14:paraId="17521433" w14:textId="77777777" w:rsidR="008D211E" w:rsidRDefault="008D211E" w:rsidP="008D211E">
      <w:pPr>
        <w:pStyle w:val="ListParagraph"/>
      </w:pPr>
      <w:r>
        <w:t xml:space="preserve">The Council is required </w:t>
      </w:r>
      <w:r w:rsidR="001E1F3A">
        <w:t>under</w:t>
      </w:r>
      <w:r>
        <w:t xml:space="preserve"> </w:t>
      </w:r>
      <w:r>
        <w:rPr>
          <w:iCs/>
          <w:color w:val="auto"/>
        </w:rPr>
        <w:t xml:space="preserve">the Equality Act 2010 to publish </w:t>
      </w:r>
      <w:r w:rsidR="001E1F3A">
        <w:rPr>
          <w:iCs/>
          <w:color w:val="auto"/>
        </w:rPr>
        <w:t xml:space="preserve">an </w:t>
      </w:r>
      <w:r w:rsidR="009341BB">
        <w:rPr>
          <w:iCs/>
          <w:color w:val="auto"/>
        </w:rPr>
        <w:t>annual</w:t>
      </w:r>
      <w:r>
        <w:t xml:space="preserve"> report that provides details of the Council’s gender pay gap </w:t>
      </w:r>
      <w:r w:rsidR="001E1F3A">
        <w:t>using</w:t>
      </w:r>
      <w:r>
        <w:t xml:space="preserve"> </w:t>
      </w:r>
      <w:r w:rsidR="00065805">
        <w:t xml:space="preserve">a number of </w:t>
      </w:r>
      <w:r>
        <w:t>key measures</w:t>
      </w:r>
      <w:r w:rsidR="001E1F3A">
        <w:t>:</w:t>
      </w:r>
      <w:r w:rsidR="00065805">
        <w:t xml:space="preserve"> </w:t>
      </w:r>
      <w:r>
        <w:t>basic pay</w:t>
      </w:r>
      <w:r w:rsidR="001E1F3A">
        <w:t>;</w:t>
      </w:r>
      <w:r>
        <w:t xml:space="preserve"> bonus</w:t>
      </w:r>
      <w:r w:rsidR="001E1F3A">
        <w:t>;</w:t>
      </w:r>
      <w:r w:rsidR="00065805">
        <w:t xml:space="preserve"> </w:t>
      </w:r>
      <w:r>
        <w:t>the proportion of male and females receiving a bonus</w:t>
      </w:r>
      <w:r w:rsidR="001E1F3A">
        <w:t>;</w:t>
      </w:r>
      <w:r>
        <w:t xml:space="preserve"> </w:t>
      </w:r>
      <w:r w:rsidR="00065805">
        <w:t>and</w:t>
      </w:r>
      <w:r w:rsidR="001E1F3A">
        <w:t>,</w:t>
      </w:r>
      <w:r>
        <w:t xml:space="preserve"> </w:t>
      </w:r>
      <w:r w:rsidR="00065805">
        <w:t xml:space="preserve">pay quartile data (basic </w:t>
      </w:r>
      <w:r>
        <w:t>pay</w:t>
      </w:r>
      <w:r w:rsidR="00065805">
        <w:t>)</w:t>
      </w:r>
      <w:r>
        <w:t xml:space="preserve"> for male and female staff.</w:t>
      </w:r>
    </w:p>
    <w:p w14:paraId="42DD9A21" w14:textId="70B9745F" w:rsidR="00EF3B36" w:rsidRDefault="00065805" w:rsidP="001E036A">
      <w:pPr>
        <w:pStyle w:val="ListParagraph"/>
      </w:pPr>
      <w:r>
        <w:t xml:space="preserve">The two previous Gender Pay Gap reports published by the Council included pay data for the staff who were TUPE transferred to Oxford Direct Services (ODS) on 1 April 2018. However, the next report to be published </w:t>
      </w:r>
      <w:r w:rsidR="000D46EC">
        <w:t xml:space="preserve">in March 2020 </w:t>
      </w:r>
      <w:r>
        <w:t>will be the first to provide gender pay data fo</w:t>
      </w:r>
      <w:r w:rsidR="00EF3B36">
        <w:t>r the Council’s workforce only. ODS will also be required to provide their own Gender Pay Gap report as an employer in their own right at the ‘snapshot’ date detailed in paragraph (3) below.</w:t>
      </w:r>
    </w:p>
    <w:p w14:paraId="4A6EC745" w14:textId="149353D7" w:rsidR="008D211E" w:rsidRDefault="008D211E" w:rsidP="001E036A">
      <w:pPr>
        <w:pStyle w:val="ListParagraph"/>
      </w:pPr>
      <w:r w:rsidRPr="005005BE">
        <w:t xml:space="preserve">Due to the </w:t>
      </w:r>
      <w:r w:rsidR="006710FC">
        <w:t xml:space="preserve">government’s </w:t>
      </w:r>
      <w:r>
        <w:t xml:space="preserve">gender pay </w:t>
      </w:r>
      <w:r w:rsidRPr="005005BE">
        <w:t>reporting cycle</w:t>
      </w:r>
      <w:r w:rsidR="009341BB">
        <w:t>,</w:t>
      </w:r>
      <w:r w:rsidRPr="005005BE">
        <w:t xml:space="preserve"> the pay data that </w:t>
      </w:r>
      <w:r w:rsidR="00E91F86">
        <w:t>the Council</w:t>
      </w:r>
      <w:r w:rsidRPr="005005BE">
        <w:t xml:space="preserve"> </w:t>
      </w:r>
      <w:r w:rsidRPr="00EF3B36">
        <w:rPr>
          <w:b/>
        </w:rPr>
        <w:t>must</w:t>
      </w:r>
      <w:r w:rsidRPr="005005BE">
        <w:t xml:space="preserve"> publish </w:t>
      </w:r>
      <w:r>
        <w:t>by 3</w:t>
      </w:r>
      <w:r w:rsidR="00F045FB">
        <w:t>0</w:t>
      </w:r>
      <w:r>
        <w:t xml:space="preserve"> March 2020 </w:t>
      </w:r>
      <w:r w:rsidRPr="005005BE">
        <w:t xml:space="preserve">relates to </w:t>
      </w:r>
      <w:r>
        <w:t xml:space="preserve">Council </w:t>
      </w:r>
      <w:r w:rsidRPr="005005BE">
        <w:t xml:space="preserve">pay data </w:t>
      </w:r>
      <w:r w:rsidR="00E9191F">
        <w:t>at</w:t>
      </w:r>
      <w:r w:rsidRPr="005005BE">
        <w:t xml:space="preserve"> </w:t>
      </w:r>
      <w:r>
        <w:t xml:space="preserve">the </w:t>
      </w:r>
      <w:r w:rsidR="00E91F86">
        <w:t>‘snapshot</w:t>
      </w:r>
      <w:r>
        <w:t xml:space="preserve"> date</w:t>
      </w:r>
      <w:r w:rsidR="00E91F86">
        <w:t>’</w:t>
      </w:r>
      <w:r>
        <w:t xml:space="preserve"> of </w:t>
      </w:r>
      <w:r w:rsidRPr="005005BE">
        <w:t>31 March 20</w:t>
      </w:r>
      <w:r>
        <w:t>19</w:t>
      </w:r>
      <w:r w:rsidRPr="005005BE">
        <w:t xml:space="preserve">. </w:t>
      </w:r>
    </w:p>
    <w:p w14:paraId="16DF6F65" w14:textId="77777777" w:rsidR="008D211E" w:rsidRDefault="008D211E" w:rsidP="0034411E">
      <w:pPr>
        <w:rPr>
          <w:b/>
        </w:rPr>
      </w:pPr>
    </w:p>
    <w:p w14:paraId="14C13A8E" w14:textId="77777777" w:rsidR="0034411E" w:rsidRPr="0034411E" w:rsidRDefault="00212611" w:rsidP="0034411E">
      <w:pPr>
        <w:rPr>
          <w:b/>
        </w:rPr>
      </w:pPr>
      <w:r>
        <w:rPr>
          <w:b/>
        </w:rPr>
        <w:t>Methodology</w:t>
      </w:r>
    </w:p>
    <w:p w14:paraId="53F00A4A" w14:textId="77777777" w:rsidR="000310C0" w:rsidRDefault="000310C0" w:rsidP="000310C0">
      <w:pPr>
        <w:pStyle w:val="ListParagraph"/>
      </w:pPr>
      <w:r>
        <w:t>Gender pay gap reporting is based on</w:t>
      </w:r>
      <w:r w:rsidR="00A3677A">
        <w:t xml:space="preserve"> </w:t>
      </w:r>
      <w:r w:rsidR="0042511B">
        <w:t xml:space="preserve">three </w:t>
      </w:r>
      <w:r w:rsidR="003517FC">
        <w:t>calculation</w:t>
      </w:r>
      <w:r w:rsidR="00A3677A">
        <w:t xml:space="preserve"> methodologies. The</w:t>
      </w:r>
      <w:r>
        <w:t xml:space="preserve"> </w:t>
      </w:r>
      <w:r w:rsidR="00FB77F0">
        <w:t xml:space="preserve">first uses the </w:t>
      </w:r>
      <w:r>
        <w:t xml:space="preserve">hourly rate paid to male and female staff </w:t>
      </w:r>
      <w:r w:rsidR="00A3677A">
        <w:t xml:space="preserve">to compile the following </w:t>
      </w:r>
      <w:r w:rsidR="00065805">
        <w:t xml:space="preserve">reporting </w:t>
      </w:r>
      <w:r w:rsidR="00A3677A">
        <w:t>indices: -</w:t>
      </w:r>
    </w:p>
    <w:p w14:paraId="3AC79545" w14:textId="77777777" w:rsidR="00A3677A" w:rsidRDefault="00A3677A" w:rsidP="00A3677A">
      <w:pPr>
        <w:pStyle w:val="ListParagraph"/>
        <w:numPr>
          <w:ilvl w:val="0"/>
          <w:numId w:val="39"/>
        </w:numPr>
      </w:pPr>
      <w:r>
        <w:t>Mean gender pay gap (basic pay)</w:t>
      </w:r>
      <w:r w:rsidR="00651122">
        <w:t>;</w:t>
      </w:r>
    </w:p>
    <w:p w14:paraId="15B6507C" w14:textId="77777777" w:rsidR="00A3677A" w:rsidRDefault="00A3677A" w:rsidP="00A3677A">
      <w:pPr>
        <w:pStyle w:val="ListParagraph"/>
        <w:numPr>
          <w:ilvl w:val="0"/>
          <w:numId w:val="39"/>
        </w:numPr>
      </w:pPr>
      <w:r>
        <w:t>Median gender pay gap (basic pay)</w:t>
      </w:r>
      <w:r w:rsidR="00065805">
        <w:t>; and</w:t>
      </w:r>
    </w:p>
    <w:p w14:paraId="0E3A656A" w14:textId="77777777" w:rsidR="00A3677A" w:rsidRDefault="00A3677A" w:rsidP="00A3677A">
      <w:pPr>
        <w:pStyle w:val="ListParagraph"/>
        <w:numPr>
          <w:ilvl w:val="0"/>
          <w:numId w:val="39"/>
        </w:numPr>
      </w:pPr>
      <w:r>
        <w:t>Pay quartiles by gender</w:t>
      </w:r>
      <w:r w:rsidR="00FB77F0">
        <w:t>.</w:t>
      </w:r>
    </w:p>
    <w:p w14:paraId="7151481B" w14:textId="77777777" w:rsidR="00C01A1D" w:rsidRDefault="00C01A1D" w:rsidP="00A3677A">
      <w:pPr>
        <w:ind w:left="426"/>
      </w:pPr>
    </w:p>
    <w:p w14:paraId="56482147" w14:textId="057B7128" w:rsidR="00C01A1D" w:rsidRDefault="00C01A1D" w:rsidP="00A3677A">
      <w:pPr>
        <w:ind w:left="426"/>
      </w:pPr>
      <w:r>
        <w:t xml:space="preserve">The use of an hourly pay rate in the calculation of these reporting indices (as opposed to gross pay) </w:t>
      </w:r>
      <w:r w:rsidR="00B70413">
        <w:t xml:space="preserve">is intended to </w:t>
      </w:r>
      <w:r>
        <w:t>negate the impact of part-time working within an organisation’s workforce, as in our case.</w:t>
      </w:r>
      <w:r w:rsidR="00B70413">
        <w:t xml:space="preserve"> However, in practical terms the use of an hourly rate as the basis for </w:t>
      </w:r>
      <w:r w:rsidR="00E31F72">
        <w:t xml:space="preserve">these </w:t>
      </w:r>
      <w:r w:rsidR="00B70413">
        <w:t>calculation</w:t>
      </w:r>
      <w:r w:rsidR="00E31F72">
        <w:t>s</w:t>
      </w:r>
      <w:r w:rsidR="00B70413">
        <w:t xml:space="preserve"> means that the </w:t>
      </w:r>
      <w:r w:rsidR="00B70413">
        <w:rPr>
          <w:i/>
        </w:rPr>
        <w:t>distribution</w:t>
      </w:r>
      <w:r w:rsidR="00B70413">
        <w:t xml:space="preserve"> of female and male staff </w:t>
      </w:r>
      <w:r w:rsidR="000D46EC">
        <w:t xml:space="preserve">by grade </w:t>
      </w:r>
      <w:r w:rsidR="00B70413">
        <w:t>can have a significant impact</w:t>
      </w:r>
      <w:r w:rsidR="00241A7F">
        <w:t xml:space="preserve"> on the gender pay gap indices</w:t>
      </w:r>
      <w:r w:rsidR="00B70413">
        <w:t>, especially w</w:t>
      </w:r>
      <w:r w:rsidR="00241A7F">
        <w:t>here a</w:t>
      </w:r>
      <w:r w:rsidR="00B70413">
        <w:t xml:space="preserve"> workforce</w:t>
      </w:r>
      <w:r w:rsidR="00241A7F">
        <w:t>’s</w:t>
      </w:r>
      <w:r w:rsidR="00B70413">
        <w:t xml:space="preserve"> </w:t>
      </w:r>
      <w:r w:rsidR="00E31F72">
        <w:t xml:space="preserve">population is </w:t>
      </w:r>
      <w:r w:rsidR="00B70413">
        <w:t>heavily skewed towards one</w:t>
      </w:r>
      <w:r w:rsidR="00162233">
        <w:t xml:space="preserve"> gender</w:t>
      </w:r>
      <w:r w:rsidR="00241A7F">
        <w:t xml:space="preserve"> and where the ‘dominant’ population is employed in lower graded roles when compared to the other gender.</w:t>
      </w:r>
    </w:p>
    <w:p w14:paraId="2831892B" w14:textId="1F57AF4A" w:rsidR="00A3677A" w:rsidRDefault="0042511B" w:rsidP="00A3677A">
      <w:pPr>
        <w:ind w:left="426"/>
      </w:pPr>
      <w:r>
        <w:t>The second calculation methodology is used to calculate the mean and median gender bonus pay gap</w:t>
      </w:r>
      <w:r w:rsidR="00E31F72">
        <w:t xml:space="preserve"> and is </w:t>
      </w:r>
      <w:r>
        <w:t xml:space="preserve">based on </w:t>
      </w:r>
      <w:r w:rsidR="003517FC" w:rsidRPr="00C01A1D">
        <w:t>t</w:t>
      </w:r>
      <w:r w:rsidR="00A3677A" w:rsidRPr="00C01A1D">
        <w:t xml:space="preserve">he </w:t>
      </w:r>
      <w:r w:rsidR="001E1F3A" w:rsidRPr="00C01A1D">
        <w:t xml:space="preserve">actual bonus </w:t>
      </w:r>
      <w:r w:rsidR="00A3677A" w:rsidRPr="00C01A1D">
        <w:t>pay</w:t>
      </w:r>
      <w:r w:rsidR="001E1F3A" w:rsidRPr="00C01A1D">
        <w:t>ment received by staff</w:t>
      </w:r>
      <w:r w:rsidR="00A3677A" w:rsidRPr="00C01A1D">
        <w:t>.</w:t>
      </w:r>
      <w:r w:rsidR="00A3677A">
        <w:t xml:space="preserve"> </w:t>
      </w:r>
      <w:r w:rsidR="00C01A1D">
        <w:t>The Council’s Partnership Payment scheme is classified as a bonus payment for the purposes of gender pay gap reporting</w:t>
      </w:r>
      <w:r w:rsidR="00CB5126" w:rsidRPr="005F6CD7">
        <w:t>. The Partnership Payment is part of the 2018-21 pay agreement and is based on a fixed sum (£ 500) that</w:t>
      </w:r>
      <w:r w:rsidR="00B70413" w:rsidRPr="005F6CD7">
        <w:t xml:space="preserve"> is </w:t>
      </w:r>
      <w:r w:rsidR="00C01A1D" w:rsidRPr="005F6CD7">
        <w:t>paid on a pro-rata basis</w:t>
      </w:r>
      <w:r w:rsidR="00B70413" w:rsidRPr="005F6CD7">
        <w:t xml:space="preserve">, </w:t>
      </w:r>
      <w:r w:rsidR="00C01A1D" w:rsidRPr="005F6CD7">
        <w:t>i.e. based on the hours worked by an employee</w:t>
      </w:r>
      <w:r w:rsidR="00CB5126" w:rsidRPr="005F6CD7">
        <w:t>. As t</w:t>
      </w:r>
      <w:r w:rsidR="00C01A1D" w:rsidRPr="005F6CD7">
        <w:t xml:space="preserve">his reporting measure is </w:t>
      </w:r>
      <w:r w:rsidR="00CB5126" w:rsidRPr="005F6CD7">
        <w:t xml:space="preserve">based on the value of the bonus payment received, it is </w:t>
      </w:r>
      <w:r w:rsidR="00C01A1D" w:rsidRPr="005F6CD7">
        <w:t>directly impact</w:t>
      </w:r>
      <w:r w:rsidR="00AD3338" w:rsidRPr="005F6CD7">
        <w:t xml:space="preserve">ed by </w:t>
      </w:r>
      <w:r w:rsidR="00C01A1D" w:rsidRPr="005F6CD7">
        <w:t xml:space="preserve">the high proportion of female staff who </w:t>
      </w:r>
      <w:proofErr w:type="gramStart"/>
      <w:r w:rsidR="00C01A1D" w:rsidRPr="005F6CD7">
        <w:t>work</w:t>
      </w:r>
      <w:proofErr w:type="gramEnd"/>
      <w:r w:rsidR="00C01A1D" w:rsidRPr="005F6CD7">
        <w:t xml:space="preserve"> on a part-time basis </w:t>
      </w:r>
      <w:r w:rsidR="00CB5126" w:rsidRPr="005F6CD7">
        <w:t xml:space="preserve">(circa 33%) </w:t>
      </w:r>
      <w:r w:rsidR="00E76E02" w:rsidRPr="005F6CD7">
        <w:t>who</w:t>
      </w:r>
      <w:r w:rsidR="00C01A1D" w:rsidRPr="005F6CD7">
        <w:t xml:space="preserve"> receive a smaller bonus pay</w:t>
      </w:r>
      <w:r w:rsidR="00CB5126" w:rsidRPr="005F6CD7">
        <w:t>ment than male staff</w:t>
      </w:r>
      <w:r w:rsidR="00E76E02" w:rsidRPr="005F6CD7">
        <w:t>. In practical terms this reduces both the mean and median bonus pay figures for female staff when compared to those for males, i.e. a group who predominantly work on a full-time basis</w:t>
      </w:r>
      <w:r w:rsidR="00CB5126" w:rsidRPr="005F6CD7">
        <w:t>.</w:t>
      </w:r>
      <w:r w:rsidR="00C01A1D">
        <w:t xml:space="preserve"> </w:t>
      </w:r>
    </w:p>
    <w:p w14:paraId="0F681170" w14:textId="77777777" w:rsidR="0042511B" w:rsidRDefault="0042511B" w:rsidP="00A3677A">
      <w:pPr>
        <w:ind w:left="426"/>
      </w:pPr>
      <w:r>
        <w:t xml:space="preserve">The </w:t>
      </w:r>
      <w:r w:rsidR="00B70413">
        <w:t>third</w:t>
      </w:r>
      <w:r>
        <w:t xml:space="preserve"> calculation methodology </w:t>
      </w:r>
      <w:r w:rsidR="00E31F72">
        <w:t xml:space="preserve">is used to calculate </w:t>
      </w:r>
      <w:r>
        <w:t>the proportion of female and male staff receiving a bonus. This data set is</w:t>
      </w:r>
      <w:r w:rsidR="00E31F72">
        <w:t xml:space="preserve"> </w:t>
      </w:r>
      <w:r>
        <w:t xml:space="preserve">based on the </w:t>
      </w:r>
      <w:r w:rsidR="00E31F72">
        <w:t xml:space="preserve">headcount of </w:t>
      </w:r>
      <w:r>
        <w:t xml:space="preserve">female </w:t>
      </w:r>
      <w:r>
        <w:lastRenderedPageBreak/>
        <w:t xml:space="preserve">and male staff receiving a bonus payment and is not therefore affected by the </w:t>
      </w:r>
      <w:r>
        <w:rPr>
          <w:i/>
        </w:rPr>
        <w:t>hours</w:t>
      </w:r>
      <w:r>
        <w:t xml:space="preserve"> worked by an employee.</w:t>
      </w:r>
    </w:p>
    <w:p w14:paraId="724DF819" w14:textId="56AC039E" w:rsidR="00C01A1D" w:rsidRDefault="00C01A1D">
      <w:pPr>
        <w:spacing w:after="0"/>
        <w:rPr>
          <w:b/>
        </w:rPr>
      </w:pPr>
    </w:p>
    <w:p w14:paraId="3433D08B" w14:textId="77777777" w:rsidR="00212611" w:rsidRDefault="00212611" w:rsidP="00162233">
      <w:pPr>
        <w:rPr>
          <w:b/>
        </w:rPr>
      </w:pPr>
      <w:r>
        <w:rPr>
          <w:b/>
        </w:rPr>
        <w:t>Data Analysis and Findings</w:t>
      </w:r>
    </w:p>
    <w:p w14:paraId="42D428E8" w14:textId="2BDDEF87" w:rsidR="00700C31" w:rsidRDefault="00700C31" w:rsidP="00353328">
      <w:pPr>
        <w:pStyle w:val="ListParagraph"/>
      </w:pPr>
      <w:r>
        <w:t xml:space="preserve">The key findings </w:t>
      </w:r>
      <w:r w:rsidR="00475C6F">
        <w:t xml:space="preserve">of the snapshot run as at 31 March 2019 </w:t>
      </w:r>
      <w:r w:rsidR="005F6CD7">
        <w:t xml:space="preserve">for Oxford City Council </w:t>
      </w:r>
      <w:r>
        <w:t>are as follows:</w:t>
      </w:r>
    </w:p>
    <w:p w14:paraId="7C3AE1CF" w14:textId="77777777" w:rsidR="005F6CD7" w:rsidRDefault="005F6CD7" w:rsidP="005F6CD7"/>
    <w:tbl>
      <w:tblPr>
        <w:tblStyle w:val="TableGrid"/>
        <w:tblW w:w="0" w:type="auto"/>
        <w:tblInd w:w="108" w:type="dxa"/>
        <w:tblLook w:val="04A0" w:firstRow="1" w:lastRow="0" w:firstColumn="1" w:lastColumn="0" w:noHBand="0" w:noVBand="1"/>
      </w:tblPr>
      <w:tblGrid>
        <w:gridCol w:w="9406"/>
      </w:tblGrid>
      <w:tr w:rsidR="00700C31" w14:paraId="2EA6094A" w14:textId="77777777" w:rsidTr="00475C6F">
        <w:tc>
          <w:tcPr>
            <w:tcW w:w="9494" w:type="dxa"/>
            <w:vAlign w:val="center"/>
          </w:tcPr>
          <w:p w14:paraId="60321FE6" w14:textId="77777777" w:rsidR="00700C31" w:rsidRPr="00E3066C" w:rsidRDefault="00700C31" w:rsidP="00475C6F">
            <w:pPr>
              <w:pStyle w:val="NoSpacing"/>
              <w:rPr>
                <w:rFonts w:cs="Arial"/>
                <w:sz w:val="6"/>
                <w:szCs w:val="6"/>
                <w:lang w:eastAsia="en-GB"/>
              </w:rPr>
            </w:pPr>
          </w:p>
          <w:p w14:paraId="7DFEAFAA"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ean gender pay gap</w:t>
            </w:r>
            <w:r>
              <w:rPr>
                <w:rFonts w:cs="Arial"/>
                <w:lang w:eastAsia="en-GB"/>
              </w:rPr>
              <w:t xml:space="preserve"> (basic pay)</w:t>
            </w:r>
            <w:r w:rsidRPr="00012E6C">
              <w:rPr>
                <w:rFonts w:cs="Arial"/>
                <w:lang w:eastAsia="en-GB"/>
              </w:rPr>
              <w:t xml:space="preserve"> is </w:t>
            </w:r>
            <w:r>
              <w:rPr>
                <w:rFonts w:cs="Arial"/>
                <w:lang w:eastAsia="en-GB"/>
              </w:rPr>
              <w:t>10.2%</w:t>
            </w:r>
          </w:p>
        </w:tc>
      </w:tr>
      <w:tr w:rsidR="00700C31" w14:paraId="6B3F2640" w14:textId="77777777" w:rsidTr="00475C6F">
        <w:tc>
          <w:tcPr>
            <w:tcW w:w="9494" w:type="dxa"/>
            <w:vAlign w:val="center"/>
          </w:tcPr>
          <w:p w14:paraId="32BF3187" w14:textId="77777777" w:rsidR="00700C31" w:rsidRPr="00E3066C" w:rsidRDefault="00700C31" w:rsidP="00475C6F">
            <w:pPr>
              <w:pStyle w:val="NoSpacing"/>
              <w:rPr>
                <w:rFonts w:cs="Arial"/>
                <w:sz w:val="6"/>
                <w:szCs w:val="6"/>
                <w:lang w:eastAsia="en-GB"/>
              </w:rPr>
            </w:pPr>
          </w:p>
          <w:p w14:paraId="6BDBD31E"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edian gender pay gap</w:t>
            </w:r>
            <w:r>
              <w:rPr>
                <w:rFonts w:cs="Arial"/>
                <w:lang w:eastAsia="en-GB"/>
              </w:rPr>
              <w:t xml:space="preserve"> (basic pay)</w:t>
            </w:r>
            <w:r w:rsidRPr="00012E6C">
              <w:rPr>
                <w:rFonts w:cs="Arial"/>
                <w:lang w:eastAsia="en-GB"/>
              </w:rPr>
              <w:t xml:space="preserve"> is </w:t>
            </w:r>
            <w:r>
              <w:rPr>
                <w:rFonts w:cs="Arial"/>
                <w:lang w:eastAsia="en-GB"/>
              </w:rPr>
              <w:t>12.1%</w:t>
            </w:r>
          </w:p>
        </w:tc>
      </w:tr>
      <w:tr w:rsidR="00700C31" w14:paraId="587D3459" w14:textId="77777777" w:rsidTr="00475C6F">
        <w:tc>
          <w:tcPr>
            <w:tcW w:w="9494" w:type="dxa"/>
            <w:vAlign w:val="center"/>
          </w:tcPr>
          <w:p w14:paraId="70AB44EE" w14:textId="77777777" w:rsidR="00700C31" w:rsidRPr="00E3066C" w:rsidRDefault="00700C31" w:rsidP="00475C6F">
            <w:pPr>
              <w:pStyle w:val="NoSpacing"/>
              <w:rPr>
                <w:rFonts w:cs="Arial"/>
                <w:sz w:val="6"/>
                <w:szCs w:val="6"/>
                <w:lang w:eastAsia="en-GB"/>
              </w:rPr>
            </w:pPr>
          </w:p>
          <w:p w14:paraId="75805D03"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 xml:space="preserve">ean gender bonus gap for </w:t>
            </w:r>
            <w:r>
              <w:rPr>
                <w:rFonts w:cs="Arial"/>
                <w:lang w:eastAsia="en-GB"/>
              </w:rPr>
              <w:t>11.6%</w:t>
            </w:r>
          </w:p>
        </w:tc>
      </w:tr>
      <w:tr w:rsidR="00700C31" w14:paraId="2E383577" w14:textId="77777777" w:rsidTr="00475C6F">
        <w:tc>
          <w:tcPr>
            <w:tcW w:w="9494" w:type="dxa"/>
            <w:vAlign w:val="center"/>
          </w:tcPr>
          <w:p w14:paraId="564E28B3" w14:textId="77777777" w:rsidR="00700C31" w:rsidRPr="00E3066C" w:rsidRDefault="00700C31" w:rsidP="00475C6F">
            <w:pPr>
              <w:pStyle w:val="NoSpacing"/>
              <w:rPr>
                <w:rFonts w:cs="Arial"/>
                <w:sz w:val="6"/>
                <w:szCs w:val="6"/>
                <w:lang w:eastAsia="en-GB"/>
              </w:rPr>
            </w:pPr>
          </w:p>
          <w:p w14:paraId="0F7C4A39"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 xml:space="preserve">edian gender bonus gap is </w:t>
            </w:r>
            <w:r>
              <w:rPr>
                <w:rFonts w:cs="Arial"/>
                <w:lang w:eastAsia="en-GB"/>
              </w:rPr>
              <w:t>9.26%</w:t>
            </w:r>
          </w:p>
        </w:tc>
      </w:tr>
      <w:tr w:rsidR="00700C31" w14:paraId="79D08E1A" w14:textId="77777777" w:rsidTr="00475C6F">
        <w:tc>
          <w:tcPr>
            <w:tcW w:w="9494" w:type="dxa"/>
            <w:vAlign w:val="center"/>
          </w:tcPr>
          <w:p w14:paraId="3D67D805" w14:textId="77777777" w:rsidR="00700C31" w:rsidRPr="00E3066C" w:rsidRDefault="00700C31" w:rsidP="00475C6F">
            <w:pPr>
              <w:pStyle w:val="NoSpacing"/>
              <w:rPr>
                <w:rFonts w:cs="Arial"/>
                <w:sz w:val="6"/>
                <w:szCs w:val="6"/>
                <w:lang w:eastAsia="en-GB"/>
              </w:rPr>
            </w:pPr>
          </w:p>
          <w:p w14:paraId="53D6FDB9" w14:textId="77777777" w:rsidR="00700C31" w:rsidRPr="00E3066C" w:rsidRDefault="00700C31" w:rsidP="00475C6F">
            <w:pPr>
              <w:pStyle w:val="NoSpacing"/>
              <w:rPr>
                <w:rFonts w:cs="Arial"/>
                <w:sz w:val="6"/>
                <w:szCs w:val="6"/>
                <w:lang w:eastAsia="en-GB"/>
              </w:rPr>
            </w:pPr>
            <w:r>
              <w:rPr>
                <w:rFonts w:cs="Arial"/>
                <w:lang w:eastAsia="en-GB"/>
              </w:rPr>
              <w:t>P</w:t>
            </w:r>
            <w:r w:rsidRPr="00012E6C">
              <w:rPr>
                <w:rFonts w:cs="Arial"/>
                <w:lang w:eastAsia="en-GB"/>
              </w:rPr>
              <w:t xml:space="preserve">roportion of male employees receiving a bonus </w:t>
            </w:r>
            <w:r>
              <w:rPr>
                <w:rFonts w:cs="Arial"/>
                <w:lang w:eastAsia="en-GB"/>
              </w:rPr>
              <w:t>is</w:t>
            </w:r>
            <w:r w:rsidRPr="00012E6C">
              <w:rPr>
                <w:rFonts w:cs="Arial"/>
                <w:lang w:eastAsia="en-GB"/>
              </w:rPr>
              <w:t xml:space="preserve"> </w:t>
            </w:r>
            <w:r>
              <w:rPr>
                <w:rFonts w:cs="Arial"/>
                <w:lang w:eastAsia="en-GB"/>
              </w:rPr>
              <w:t>83.7%</w:t>
            </w:r>
          </w:p>
        </w:tc>
      </w:tr>
      <w:tr w:rsidR="00700C31" w14:paraId="00E76893" w14:textId="77777777" w:rsidTr="00475C6F">
        <w:tc>
          <w:tcPr>
            <w:tcW w:w="9494" w:type="dxa"/>
            <w:vAlign w:val="center"/>
          </w:tcPr>
          <w:p w14:paraId="50E86ADD" w14:textId="77777777" w:rsidR="00700C31" w:rsidRPr="00E3066C" w:rsidRDefault="00700C31" w:rsidP="00475C6F">
            <w:pPr>
              <w:pStyle w:val="NoSpacing"/>
              <w:rPr>
                <w:rFonts w:cs="Arial"/>
                <w:sz w:val="6"/>
                <w:szCs w:val="6"/>
                <w:lang w:eastAsia="en-GB"/>
              </w:rPr>
            </w:pPr>
          </w:p>
          <w:p w14:paraId="7F587E04" w14:textId="77777777" w:rsidR="00700C31" w:rsidRPr="00E3066C" w:rsidRDefault="00700C31" w:rsidP="00475C6F">
            <w:pPr>
              <w:pStyle w:val="NoSpacing"/>
              <w:rPr>
                <w:rFonts w:cs="Arial"/>
                <w:sz w:val="6"/>
                <w:szCs w:val="6"/>
                <w:lang w:eastAsia="en-GB"/>
              </w:rPr>
            </w:pPr>
            <w:r>
              <w:rPr>
                <w:rFonts w:cs="Arial"/>
                <w:lang w:eastAsia="en-GB"/>
              </w:rPr>
              <w:t>P</w:t>
            </w:r>
            <w:r w:rsidRPr="00012E6C">
              <w:rPr>
                <w:rFonts w:cs="Arial"/>
                <w:lang w:eastAsia="en-GB"/>
              </w:rPr>
              <w:t xml:space="preserve">roportion of female employees receiving a bonus </w:t>
            </w:r>
            <w:r>
              <w:rPr>
                <w:rFonts w:cs="Arial"/>
                <w:lang w:eastAsia="en-GB"/>
              </w:rPr>
              <w:t>is 84.2%</w:t>
            </w:r>
          </w:p>
        </w:tc>
      </w:tr>
    </w:tbl>
    <w:p w14:paraId="48A39277" w14:textId="77777777" w:rsidR="00700C31" w:rsidRPr="00012E6C" w:rsidRDefault="00700C31" w:rsidP="00700C31">
      <w:pPr>
        <w:pStyle w:val="NoSpacing"/>
        <w:rPr>
          <w:rFonts w:cs="Arial"/>
          <w:lang w:eastAsia="en-GB"/>
        </w:rPr>
      </w:pPr>
      <w:r w:rsidRPr="00012E6C">
        <w:rPr>
          <w:rFonts w:cs="Arial"/>
          <w:lang w:eastAsia="en-GB"/>
        </w:rPr>
        <w:t>.</w:t>
      </w:r>
    </w:p>
    <w:p w14:paraId="4636A883" w14:textId="4937024C" w:rsidR="00700C31" w:rsidRPr="00353328" w:rsidRDefault="00700C31" w:rsidP="00DE3389">
      <w:pPr>
        <w:pStyle w:val="NoSpacing"/>
        <w:rPr>
          <w:rFonts w:cs="Arial"/>
          <w:lang w:eastAsia="en-GB"/>
        </w:rPr>
      </w:pPr>
      <w:r w:rsidRPr="00353328">
        <w:rPr>
          <w:rFonts w:cs="Arial"/>
          <w:lang w:eastAsia="en-GB"/>
        </w:rPr>
        <w:t xml:space="preserve">Pay quartiles by gender </w:t>
      </w:r>
      <w:r w:rsidR="000D46EC">
        <w:rPr>
          <w:rFonts w:cs="Arial"/>
          <w:lang w:eastAsia="en-GB"/>
        </w:rPr>
        <w:t>– Oxford City Council</w:t>
      </w:r>
    </w:p>
    <w:p w14:paraId="39EB8142" w14:textId="77777777" w:rsidR="00700C31" w:rsidRPr="00012E6C" w:rsidRDefault="00700C31" w:rsidP="00700C31">
      <w:pPr>
        <w:pStyle w:val="NoSpacing"/>
        <w:rPr>
          <w:rFonts w:cs="Arial"/>
          <w:lang w:eastAsia="en-GB"/>
        </w:rPr>
      </w:pPr>
    </w:p>
    <w:tbl>
      <w:tblPr>
        <w:tblStyle w:val="TableGrid"/>
        <w:tblW w:w="0" w:type="auto"/>
        <w:tblInd w:w="108" w:type="dxa"/>
        <w:tblLook w:val="04A0" w:firstRow="1" w:lastRow="0" w:firstColumn="1" w:lastColumn="0" w:noHBand="0" w:noVBand="1"/>
      </w:tblPr>
      <w:tblGrid>
        <w:gridCol w:w="3586"/>
        <w:gridCol w:w="2870"/>
        <w:gridCol w:w="2950"/>
      </w:tblGrid>
      <w:tr w:rsidR="00700C31" w:rsidRPr="00012E6C" w14:paraId="1C0A50AA" w14:textId="77777777" w:rsidTr="00475C6F">
        <w:tc>
          <w:tcPr>
            <w:tcW w:w="3621" w:type="dxa"/>
          </w:tcPr>
          <w:p w14:paraId="1ACA8863" w14:textId="77777777" w:rsidR="00700C31" w:rsidRPr="00957920" w:rsidRDefault="00700C31" w:rsidP="00475C6F">
            <w:pPr>
              <w:pStyle w:val="NoSpacing"/>
              <w:rPr>
                <w:rFonts w:cs="Arial"/>
                <w:b/>
                <w:bCs/>
                <w:sz w:val="6"/>
                <w:szCs w:val="6"/>
                <w:lang w:eastAsia="en-GB"/>
              </w:rPr>
            </w:pPr>
          </w:p>
          <w:p w14:paraId="66DEF569" w14:textId="77777777" w:rsidR="00700C31" w:rsidRPr="00012E6C" w:rsidRDefault="00700C31" w:rsidP="00475C6F">
            <w:pPr>
              <w:pStyle w:val="NoSpacing"/>
              <w:rPr>
                <w:rFonts w:cs="Arial"/>
                <w:b/>
                <w:bCs/>
                <w:lang w:eastAsia="en-GB"/>
              </w:rPr>
            </w:pPr>
            <w:r w:rsidRPr="00012E6C">
              <w:rPr>
                <w:rFonts w:cs="Arial"/>
                <w:b/>
                <w:bCs/>
                <w:lang w:eastAsia="en-GB"/>
              </w:rPr>
              <w:t>Quartile</w:t>
            </w:r>
            <w:r>
              <w:rPr>
                <w:rFonts w:cs="Arial"/>
                <w:b/>
                <w:bCs/>
                <w:lang w:eastAsia="en-GB"/>
              </w:rPr>
              <w:t>*</w:t>
            </w:r>
          </w:p>
        </w:tc>
        <w:tc>
          <w:tcPr>
            <w:tcW w:w="2900" w:type="dxa"/>
          </w:tcPr>
          <w:p w14:paraId="1279A6DF" w14:textId="77777777" w:rsidR="00700C31" w:rsidRPr="00957920" w:rsidRDefault="00700C31" w:rsidP="00475C6F">
            <w:pPr>
              <w:pStyle w:val="NoSpacing"/>
              <w:jc w:val="center"/>
              <w:rPr>
                <w:rFonts w:cs="Arial"/>
                <w:b/>
                <w:bCs/>
                <w:sz w:val="6"/>
                <w:szCs w:val="6"/>
                <w:lang w:eastAsia="en-GB"/>
              </w:rPr>
            </w:pPr>
          </w:p>
          <w:p w14:paraId="600377CD" w14:textId="77777777" w:rsidR="00700C31" w:rsidRPr="00012E6C" w:rsidRDefault="00700C31" w:rsidP="00475C6F">
            <w:pPr>
              <w:pStyle w:val="NoSpacing"/>
              <w:jc w:val="center"/>
              <w:rPr>
                <w:rFonts w:cs="Arial"/>
                <w:b/>
                <w:bCs/>
                <w:lang w:eastAsia="en-GB"/>
              </w:rPr>
            </w:pPr>
            <w:r w:rsidRPr="00012E6C">
              <w:rPr>
                <w:rFonts w:cs="Arial"/>
                <w:b/>
                <w:bCs/>
                <w:lang w:eastAsia="en-GB"/>
              </w:rPr>
              <w:t>Males %</w:t>
            </w:r>
          </w:p>
        </w:tc>
        <w:tc>
          <w:tcPr>
            <w:tcW w:w="2977" w:type="dxa"/>
          </w:tcPr>
          <w:p w14:paraId="0017D58F" w14:textId="77777777" w:rsidR="00700C31" w:rsidRPr="00957920" w:rsidRDefault="00700C31" w:rsidP="00475C6F">
            <w:pPr>
              <w:pStyle w:val="NoSpacing"/>
              <w:jc w:val="center"/>
              <w:rPr>
                <w:rFonts w:cs="Arial"/>
                <w:b/>
                <w:bCs/>
                <w:sz w:val="6"/>
                <w:szCs w:val="6"/>
                <w:lang w:eastAsia="en-GB"/>
              </w:rPr>
            </w:pPr>
          </w:p>
          <w:p w14:paraId="2D687983" w14:textId="77777777" w:rsidR="00700C31" w:rsidRPr="00012E6C" w:rsidRDefault="00700C31" w:rsidP="00475C6F">
            <w:pPr>
              <w:pStyle w:val="NoSpacing"/>
              <w:jc w:val="center"/>
              <w:rPr>
                <w:rFonts w:cs="Arial"/>
                <w:b/>
                <w:bCs/>
                <w:lang w:eastAsia="en-GB"/>
              </w:rPr>
            </w:pPr>
            <w:r w:rsidRPr="00012E6C">
              <w:rPr>
                <w:rFonts w:cs="Arial"/>
                <w:b/>
                <w:bCs/>
                <w:lang w:eastAsia="en-GB"/>
              </w:rPr>
              <w:t>Females %</w:t>
            </w:r>
          </w:p>
        </w:tc>
      </w:tr>
      <w:tr w:rsidR="00700C31" w:rsidRPr="00012E6C" w14:paraId="235ADF69" w14:textId="77777777" w:rsidTr="00475C6F">
        <w:tc>
          <w:tcPr>
            <w:tcW w:w="3621" w:type="dxa"/>
            <w:vAlign w:val="center"/>
          </w:tcPr>
          <w:p w14:paraId="52C5421A" w14:textId="77777777" w:rsidR="00700C31" w:rsidRPr="00957920" w:rsidRDefault="00700C31" w:rsidP="00475C6F">
            <w:pPr>
              <w:pStyle w:val="NoSpacing"/>
              <w:jc w:val="both"/>
              <w:rPr>
                <w:rFonts w:cs="Arial"/>
                <w:bCs/>
                <w:sz w:val="6"/>
                <w:szCs w:val="6"/>
                <w:lang w:eastAsia="en-GB"/>
              </w:rPr>
            </w:pPr>
          </w:p>
          <w:p w14:paraId="7485D00F" w14:textId="77777777" w:rsidR="00700C31" w:rsidRPr="00012E6C" w:rsidRDefault="00700C31" w:rsidP="00475C6F">
            <w:pPr>
              <w:pStyle w:val="NoSpacing"/>
              <w:jc w:val="both"/>
              <w:rPr>
                <w:rFonts w:cs="Arial"/>
                <w:bCs/>
                <w:lang w:eastAsia="en-GB"/>
              </w:rPr>
            </w:pPr>
            <w:r w:rsidRPr="00012E6C">
              <w:rPr>
                <w:rFonts w:cs="Arial"/>
                <w:bCs/>
                <w:lang w:eastAsia="en-GB"/>
              </w:rPr>
              <w:t>Top Quartile</w:t>
            </w:r>
          </w:p>
        </w:tc>
        <w:tc>
          <w:tcPr>
            <w:tcW w:w="2900" w:type="dxa"/>
            <w:vAlign w:val="center"/>
          </w:tcPr>
          <w:p w14:paraId="4C8BCFE0"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50.58</w:t>
            </w:r>
          </w:p>
        </w:tc>
        <w:tc>
          <w:tcPr>
            <w:tcW w:w="2977" w:type="dxa"/>
            <w:vAlign w:val="center"/>
          </w:tcPr>
          <w:p w14:paraId="2AB2AB1A"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49.42</w:t>
            </w:r>
          </w:p>
        </w:tc>
      </w:tr>
      <w:tr w:rsidR="00700C31" w:rsidRPr="00012E6C" w14:paraId="3055462F" w14:textId="77777777" w:rsidTr="00475C6F">
        <w:tc>
          <w:tcPr>
            <w:tcW w:w="3621" w:type="dxa"/>
            <w:vAlign w:val="center"/>
          </w:tcPr>
          <w:p w14:paraId="70398640" w14:textId="77777777" w:rsidR="00700C31" w:rsidRPr="00957920" w:rsidRDefault="00700C31" w:rsidP="00475C6F">
            <w:pPr>
              <w:pStyle w:val="NoSpacing"/>
              <w:jc w:val="both"/>
              <w:rPr>
                <w:rFonts w:cs="Arial"/>
                <w:bCs/>
                <w:sz w:val="6"/>
                <w:szCs w:val="6"/>
                <w:lang w:eastAsia="en-GB"/>
              </w:rPr>
            </w:pPr>
          </w:p>
          <w:p w14:paraId="69E02D8C"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Upper Middle Quartile</w:t>
            </w:r>
          </w:p>
        </w:tc>
        <w:tc>
          <w:tcPr>
            <w:tcW w:w="2900" w:type="dxa"/>
            <w:vAlign w:val="center"/>
          </w:tcPr>
          <w:p w14:paraId="58404E11"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44.19</w:t>
            </w:r>
          </w:p>
        </w:tc>
        <w:tc>
          <w:tcPr>
            <w:tcW w:w="2977" w:type="dxa"/>
            <w:vAlign w:val="center"/>
          </w:tcPr>
          <w:p w14:paraId="35FFC5D5"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55.81</w:t>
            </w:r>
          </w:p>
        </w:tc>
      </w:tr>
      <w:tr w:rsidR="00700C31" w:rsidRPr="00012E6C" w14:paraId="1441F8E0" w14:textId="77777777" w:rsidTr="00475C6F">
        <w:tc>
          <w:tcPr>
            <w:tcW w:w="3621" w:type="dxa"/>
            <w:vAlign w:val="center"/>
          </w:tcPr>
          <w:p w14:paraId="52724FB1" w14:textId="77777777" w:rsidR="00700C31" w:rsidRPr="00957920" w:rsidRDefault="00700C31" w:rsidP="00475C6F">
            <w:pPr>
              <w:pStyle w:val="NoSpacing"/>
              <w:jc w:val="both"/>
              <w:rPr>
                <w:rFonts w:cs="Arial"/>
                <w:bCs/>
                <w:sz w:val="6"/>
                <w:szCs w:val="6"/>
                <w:lang w:eastAsia="en-GB"/>
              </w:rPr>
            </w:pPr>
          </w:p>
          <w:p w14:paraId="0668123F"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Lower Middle Quartile</w:t>
            </w:r>
          </w:p>
        </w:tc>
        <w:tc>
          <w:tcPr>
            <w:tcW w:w="2900" w:type="dxa"/>
            <w:vAlign w:val="center"/>
          </w:tcPr>
          <w:p w14:paraId="61909F4D"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37.12</w:t>
            </w:r>
          </w:p>
        </w:tc>
        <w:tc>
          <w:tcPr>
            <w:tcW w:w="2977" w:type="dxa"/>
            <w:vAlign w:val="center"/>
          </w:tcPr>
          <w:p w14:paraId="043C3175"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62.79</w:t>
            </w:r>
          </w:p>
        </w:tc>
      </w:tr>
      <w:tr w:rsidR="00700C31" w:rsidRPr="00012E6C" w14:paraId="24D1485D" w14:textId="77777777" w:rsidTr="00475C6F">
        <w:tc>
          <w:tcPr>
            <w:tcW w:w="3621" w:type="dxa"/>
            <w:vAlign w:val="center"/>
          </w:tcPr>
          <w:p w14:paraId="41F552A9" w14:textId="77777777" w:rsidR="00700C31" w:rsidRPr="00957920" w:rsidRDefault="00700C31" w:rsidP="00475C6F">
            <w:pPr>
              <w:pStyle w:val="NoSpacing"/>
              <w:jc w:val="both"/>
              <w:rPr>
                <w:rFonts w:cs="Arial"/>
                <w:bCs/>
                <w:sz w:val="6"/>
                <w:szCs w:val="6"/>
                <w:lang w:eastAsia="en-GB"/>
              </w:rPr>
            </w:pPr>
          </w:p>
          <w:p w14:paraId="7B70FA74"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Lower Quartile</w:t>
            </w:r>
          </w:p>
        </w:tc>
        <w:tc>
          <w:tcPr>
            <w:tcW w:w="2900" w:type="dxa"/>
            <w:vAlign w:val="center"/>
          </w:tcPr>
          <w:p w14:paraId="384524E9"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34.88</w:t>
            </w:r>
          </w:p>
        </w:tc>
        <w:tc>
          <w:tcPr>
            <w:tcW w:w="2977" w:type="dxa"/>
            <w:vAlign w:val="center"/>
          </w:tcPr>
          <w:p w14:paraId="4FA5C05B"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65.12</w:t>
            </w:r>
          </w:p>
        </w:tc>
      </w:tr>
    </w:tbl>
    <w:p w14:paraId="0BD1E171" w14:textId="77777777" w:rsidR="00700C31" w:rsidRDefault="00700C31" w:rsidP="00700C31">
      <w:pPr>
        <w:spacing w:after="0"/>
      </w:pPr>
    </w:p>
    <w:p w14:paraId="0DC274BC" w14:textId="77777777" w:rsidR="00FF0BF2" w:rsidRPr="00CB5126" w:rsidRDefault="00FF0BF2" w:rsidP="00700C31">
      <w:pPr>
        <w:spacing w:after="0"/>
        <w:rPr>
          <w:i/>
          <w:sz w:val="22"/>
        </w:rPr>
      </w:pPr>
      <w:r w:rsidRPr="00CB5126">
        <w:rPr>
          <w:b/>
          <w:i/>
          <w:sz w:val="22"/>
        </w:rPr>
        <w:t>Note to Tables</w:t>
      </w:r>
    </w:p>
    <w:p w14:paraId="78050B1D" w14:textId="77777777" w:rsidR="00FF0BF2" w:rsidRPr="00CB5126" w:rsidRDefault="00FF0BF2" w:rsidP="00700C31">
      <w:pPr>
        <w:spacing w:after="0"/>
        <w:rPr>
          <w:i/>
          <w:sz w:val="22"/>
        </w:rPr>
      </w:pPr>
    </w:p>
    <w:p w14:paraId="748847ED" w14:textId="77777777" w:rsidR="00FF0BF2" w:rsidRPr="00CB5126" w:rsidRDefault="00FF0BF2" w:rsidP="00700C31">
      <w:pPr>
        <w:spacing w:after="0"/>
        <w:rPr>
          <w:i/>
          <w:sz w:val="22"/>
        </w:rPr>
      </w:pPr>
      <w:r w:rsidRPr="00CB5126">
        <w:rPr>
          <w:i/>
          <w:sz w:val="22"/>
        </w:rPr>
        <w:t xml:space="preserve">Where a </w:t>
      </w:r>
      <w:r w:rsidR="00B70413" w:rsidRPr="00CB5126">
        <w:rPr>
          <w:i/>
          <w:sz w:val="22"/>
        </w:rPr>
        <w:t xml:space="preserve">gender pay gap </w:t>
      </w:r>
      <w:r w:rsidRPr="00CB5126">
        <w:rPr>
          <w:i/>
          <w:sz w:val="22"/>
        </w:rPr>
        <w:t>reporting indices is in favour of females the figure is shown as a minus figure, i.e. -2.0%.</w:t>
      </w:r>
      <w:r w:rsidR="00B70413" w:rsidRPr="00CB5126">
        <w:rPr>
          <w:i/>
          <w:sz w:val="22"/>
        </w:rPr>
        <w:t xml:space="preserve"> </w:t>
      </w:r>
    </w:p>
    <w:p w14:paraId="2B3C3A9F" w14:textId="77777777" w:rsidR="00FF0BF2" w:rsidRDefault="00FF0BF2" w:rsidP="00700C31">
      <w:pPr>
        <w:spacing w:after="0"/>
      </w:pPr>
    </w:p>
    <w:p w14:paraId="40A1B26A" w14:textId="01EC63F5" w:rsidR="00FC4763" w:rsidRDefault="00574469" w:rsidP="00574469">
      <w:pPr>
        <w:pStyle w:val="ListParagraph"/>
      </w:pPr>
      <w:r>
        <w:t xml:space="preserve">In contrast to the previous reporting periods where the Council </w:t>
      </w:r>
      <w:r w:rsidR="00E90684">
        <w:t xml:space="preserve">has </w:t>
      </w:r>
      <w:r>
        <w:t>reported gender pay gap</w:t>
      </w:r>
      <w:r w:rsidR="00E90684">
        <w:t xml:space="preserve"> figures in favour of female staff</w:t>
      </w:r>
      <w:r w:rsidR="00F4395B">
        <w:t>,</w:t>
      </w:r>
      <w:r>
        <w:t xml:space="preserve"> the </w:t>
      </w:r>
      <w:r w:rsidR="00C50F5D">
        <w:t xml:space="preserve">set of </w:t>
      </w:r>
      <w:r>
        <w:t xml:space="preserve">data to be published </w:t>
      </w:r>
      <w:r w:rsidR="000D46EC">
        <w:t xml:space="preserve">in March 2020 </w:t>
      </w:r>
      <w:r w:rsidR="000C2998">
        <w:t xml:space="preserve">will </w:t>
      </w:r>
      <w:r w:rsidR="00F4395B">
        <w:t xml:space="preserve">report </w:t>
      </w:r>
      <w:r w:rsidR="00E90684">
        <w:t xml:space="preserve">both </w:t>
      </w:r>
      <w:r w:rsidR="00C50F5D">
        <w:t xml:space="preserve">a mean </w:t>
      </w:r>
      <w:r w:rsidR="00C50F5D" w:rsidRPr="00C50F5D">
        <w:rPr>
          <w:b/>
          <w:i/>
        </w:rPr>
        <w:t>and</w:t>
      </w:r>
      <w:r w:rsidR="00C50F5D">
        <w:t xml:space="preserve"> median gender pay gap in favour of males</w:t>
      </w:r>
      <w:r w:rsidR="000C2998">
        <w:t xml:space="preserve">. </w:t>
      </w:r>
      <w:r w:rsidR="00C50F5D">
        <w:t xml:space="preserve">(Please refer to Appendix 2 for details of the previous Gender Pay Gap data reports). </w:t>
      </w:r>
    </w:p>
    <w:p w14:paraId="16465F62" w14:textId="7B5DC67A" w:rsidR="00EF3B36" w:rsidRDefault="00FC4763" w:rsidP="001E036A">
      <w:pPr>
        <w:pStyle w:val="ListParagraph"/>
      </w:pPr>
      <w:r>
        <w:t xml:space="preserve">The reason for this </w:t>
      </w:r>
      <w:r w:rsidR="00EF3B36">
        <w:t xml:space="preserve">significant </w:t>
      </w:r>
      <w:r>
        <w:t xml:space="preserve">change in reported data </w:t>
      </w:r>
      <w:r w:rsidR="00EF3B36">
        <w:t xml:space="preserve">for the Council (and ODS alike) </w:t>
      </w:r>
      <w:r>
        <w:t xml:space="preserve">is </w:t>
      </w:r>
      <w:r w:rsidR="00EF3B36">
        <w:t>due to</w:t>
      </w:r>
      <w:r>
        <w:t xml:space="preserve"> the creation of ODS as a</w:t>
      </w:r>
      <w:r w:rsidR="00EF3B36">
        <w:t xml:space="preserve">n employer in their own </w:t>
      </w:r>
      <w:proofErr w:type="gramStart"/>
      <w:r w:rsidR="00EF3B36">
        <w:t xml:space="preserve">right </w:t>
      </w:r>
      <w:r w:rsidR="000D46EC">
        <w:t>,</w:t>
      </w:r>
      <w:r w:rsidR="00EF3B36">
        <w:t>which</w:t>
      </w:r>
      <w:proofErr w:type="gramEnd"/>
      <w:r w:rsidR="00EF3B36">
        <w:t xml:space="preserve"> has had a significant impact on the calculation of the gender pay gap data tables</w:t>
      </w:r>
      <w:r w:rsidR="00651122">
        <w:t xml:space="preserve"> for </w:t>
      </w:r>
      <w:r w:rsidR="00651122">
        <w:lastRenderedPageBreak/>
        <w:t>both organisations</w:t>
      </w:r>
      <w:r w:rsidR="0039100B">
        <w:t xml:space="preserve">. </w:t>
      </w:r>
      <w:r w:rsidR="0039100B" w:rsidRPr="005F6CD7">
        <w:t>In broad terms, ODS has a large number of lower paid male staff which reduced both the mean and median basic pay figures when included in the combined</w:t>
      </w:r>
      <w:r w:rsidR="00EF3B36" w:rsidRPr="005F6CD7">
        <w:t xml:space="preserve"> </w:t>
      </w:r>
      <w:r w:rsidR="0039100B" w:rsidRPr="005F6CD7">
        <w:t xml:space="preserve">pay data for male staff within the City Council </w:t>
      </w:r>
      <w:r w:rsidR="0039100B" w:rsidRPr="005F6CD7">
        <w:rPr>
          <w:i/>
        </w:rPr>
        <w:t>and</w:t>
      </w:r>
      <w:r w:rsidR="0039100B" w:rsidRPr="005F6CD7">
        <w:t xml:space="preserve"> ODS in the last two gender pay reports.</w:t>
      </w:r>
      <w:r w:rsidR="0039100B">
        <w:t xml:space="preserve"> This is explained in</w:t>
      </w:r>
      <w:r w:rsidR="00EF3B36">
        <w:t xml:space="preserve"> </w:t>
      </w:r>
      <w:r w:rsidR="0039100B">
        <w:t>more detail</w:t>
      </w:r>
      <w:r w:rsidR="00EF3B36">
        <w:t xml:space="preserve"> in the paragraphs below. </w:t>
      </w:r>
    </w:p>
    <w:p w14:paraId="24C5E208" w14:textId="445FD71C" w:rsidR="009D422D" w:rsidRPr="00C463D0" w:rsidRDefault="000C2998" w:rsidP="009C226E">
      <w:pPr>
        <w:pStyle w:val="ListParagraph"/>
        <w:rPr>
          <w:rFonts w:cs="Arial"/>
        </w:rPr>
      </w:pPr>
      <w:r w:rsidRPr="005F6CD7">
        <w:t>The</w:t>
      </w:r>
      <w:r w:rsidR="00574469" w:rsidRPr="005F6CD7">
        <w:t xml:space="preserve"> Council</w:t>
      </w:r>
      <w:r w:rsidR="003472F0" w:rsidRPr="005F6CD7">
        <w:t>’s</w:t>
      </w:r>
      <w:r w:rsidR="00574469" w:rsidRPr="005F6CD7">
        <w:t xml:space="preserve"> workforce is predominantly female</w:t>
      </w:r>
      <w:r w:rsidR="00C00488" w:rsidRPr="005F6CD7">
        <w:t xml:space="preserve">, i.e. 401 </w:t>
      </w:r>
      <w:r w:rsidR="00A0274C" w:rsidRPr="005F6CD7">
        <w:t xml:space="preserve">staff </w:t>
      </w:r>
      <w:r w:rsidR="00C00488" w:rsidRPr="005F6CD7">
        <w:t xml:space="preserve">or </w:t>
      </w:r>
      <w:r w:rsidR="000474A2" w:rsidRPr="005F6CD7">
        <w:t>5</w:t>
      </w:r>
      <w:r w:rsidR="009C6F45" w:rsidRPr="005F6CD7">
        <w:t>8</w:t>
      </w:r>
      <w:r w:rsidR="000474A2" w:rsidRPr="005F6CD7">
        <w:t>% of the workforce</w:t>
      </w:r>
      <w:r w:rsidR="006B38E2" w:rsidRPr="005F6CD7">
        <w:t>,</w:t>
      </w:r>
      <w:r w:rsidR="00C00488" w:rsidRPr="005F6CD7">
        <w:t xml:space="preserve"> as at 31 March 2019.</w:t>
      </w:r>
      <w:r w:rsidR="000474A2" w:rsidRPr="005F6CD7">
        <w:t xml:space="preserve"> </w:t>
      </w:r>
      <w:r w:rsidR="00C00488" w:rsidRPr="005F6CD7">
        <w:t xml:space="preserve">126 females (circa 33%) </w:t>
      </w:r>
      <w:r w:rsidR="00A0274C" w:rsidRPr="005F6CD7">
        <w:t xml:space="preserve">work </w:t>
      </w:r>
      <w:r w:rsidR="000474A2" w:rsidRPr="005F6CD7">
        <w:t xml:space="preserve">on a </w:t>
      </w:r>
      <w:r w:rsidR="00574469" w:rsidRPr="005F6CD7">
        <w:t xml:space="preserve">part-time </w:t>
      </w:r>
      <w:r w:rsidR="000474A2" w:rsidRPr="005F6CD7">
        <w:t>basis</w:t>
      </w:r>
      <w:r w:rsidR="00C00488" w:rsidRPr="005F6CD7">
        <w:t>.</w:t>
      </w:r>
      <w:r w:rsidR="00A0274C" w:rsidRPr="005F6CD7">
        <w:t xml:space="preserve"> Of the 287 male staff</w:t>
      </w:r>
      <w:r w:rsidR="00501C0A" w:rsidRPr="005F6CD7">
        <w:t>,</w:t>
      </w:r>
      <w:r w:rsidR="00A0274C" w:rsidRPr="005F6CD7">
        <w:t xml:space="preserve"> only 30</w:t>
      </w:r>
      <w:r w:rsidR="00241A7F" w:rsidRPr="005F6CD7">
        <w:t xml:space="preserve"> (</w:t>
      </w:r>
      <w:r w:rsidR="00A0274C" w:rsidRPr="005F6CD7">
        <w:t>10</w:t>
      </w:r>
      <w:r w:rsidR="00574469" w:rsidRPr="005F6CD7">
        <w:t>%</w:t>
      </w:r>
      <w:r w:rsidR="00241A7F" w:rsidRPr="005F6CD7">
        <w:t>)</w:t>
      </w:r>
      <w:r w:rsidR="00574469" w:rsidRPr="005F6CD7">
        <w:t xml:space="preserve"> work </w:t>
      </w:r>
      <w:r w:rsidR="00B46176" w:rsidRPr="005F6CD7">
        <w:t xml:space="preserve">on a </w:t>
      </w:r>
      <w:r w:rsidR="00574469" w:rsidRPr="005F6CD7">
        <w:t>part-time</w:t>
      </w:r>
      <w:r w:rsidR="00B46176" w:rsidRPr="005F6CD7">
        <w:t xml:space="preserve"> basis</w:t>
      </w:r>
      <w:r w:rsidR="00574469" w:rsidRPr="005F6CD7">
        <w:t xml:space="preserve">. </w:t>
      </w:r>
      <w:r w:rsidR="00E52CD1" w:rsidRPr="005F6CD7">
        <w:t xml:space="preserve">The majority of </w:t>
      </w:r>
      <w:r w:rsidR="00C00488" w:rsidRPr="005F6CD7">
        <w:t xml:space="preserve">Council </w:t>
      </w:r>
      <w:r w:rsidR="00E52CD1" w:rsidRPr="005F6CD7">
        <w:t xml:space="preserve">staff </w:t>
      </w:r>
      <w:proofErr w:type="gramStart"/>
      <w:r w:rsidR="00E52CD1" w:rsidRPr="005F6CD7">
        <w:t>are</w:t>
      </w:r>
      <w:proofErr w:type="gramEnd"/>
      <w:r w:rsidR="00E52CD1" w:rsidRPr="005F6CD7">
        <w:t xml:space="preserve"> employed </w:t>
      </w:r>
      <w:r w:rsidR="00FB02CD" w:rsidRPr="005F6CD7">
        <w:t xml:space="preserve">in roles </w:t>
      </w:r>
      <w:r w:rsidR="00E52CD1" w:rsidRPr="005F6CD7">
        <w:t xml:space="preserve">on Grade 5 </w:t>
      </w:r>
      <w:r w:rsidR="006B38E2" w:rsidRPr="005F6CD7">
        <w:t xml:space="preserve">(25% of females and 14% of males) </w:t>
      </w:r>
      <w:r w:rsidR="00E52CD1" w:rsidRPr="005F6CD7">
        <w:t xml:space="preserve">or Grade 7 </w:t>
      </w:r>
      <w:r w:rsidR="006B38E2" w:rsidRPr="005F6CD7">
        <w:t>(19% of females and 27% of males)</w:t>
      </w:r>
      <w:r w:rsidR="00C00488" w:rsidRPr="005F6CD7">
        <w:t xml:space="preserve">. </w:t>
      </w:r>
      <w:r w:rsidR="005A274B" w:rsidRPr="005F6CD7">
        <w:t>23</w:t>
      </w:r>
      <w:r w:rsidR="00946345" w:rsidRPr="005F6CD7">
        <w:t xml:space="preserve"> staff </w:t>
      </w:r>
      <w:r w:rsidR="00501C0A" w:rsidRPr="005F6CD7">
        <w:t xml:space="preserve">(3%) </w:t>
      </w:r>
      <w:proofErr w:type="gramStart"/>
      <w:r w:rsidR="00C00488" w:rsidRPr="005F6CD7">
        <w:t>are</w:t>
      </w:r>
      <w:proofErr w:type="gramEnd"/>
      <w:r w:rsidR="00946345" w:rsidRPr="005F6CD7">
        <w:t xml:space="preserve"> e</w:t>
      </w:r>
      <w:r w:rsidR="00C00488" w:rsidRPr="005F6CD7">
        <w:t xml:space="preserve">mployed in </w:t>
      </w:r>
      <w:r w:rsidR="00A0274C" w:rsidRPr="005F6CD7">
        <w:t xml:space="preserve">senior </w:t>
      </w:r>
      <w:r w:rsidR="00C00488" w:rsidRPr="005F6CD7">
        <w:t>roles</w:t>
      </w:r>
      <w:r w:rsidR="00A0274C" w:rsidRPr="005F6CD7">
        <w:t>, i.e.</w:t>
      </w:r>
      <w:r w:rsidR="00C00488" w:rsidRPr="005F6CD7">
        <w:t xml:space="preserve"> above Grade 11. M</w:t>
      </w:r>
      <w:r w:rsidR="009D422D" w:rsidRPr="005F6CD7">
        <w:t>ales occupy proportionately more highly paid roles than females across the Council’s grade structure</w:t>
      </w:r>
      <w:r w:rsidR="00E52CD1" w:rsidRPr="005F6CD7">
        <w:t>.</w:t>
      </w:r>
      <w:r w:rsidR="0091085F" w:rsidRPr="005F6CD7">
        <w:t xml:space="preserve"> </w:t>
      </w:r>
    </w:p>
    <w:p w14:paraId="5DBFFD52" w14:textId="1285AE38" w:rsidR="00183956" w:rsidRPr="00183956" w:rsidRDefault="00C463D0" w:rsidP="00183956">
      <w:pPr>
        <w:pStyle w:val="ListParagraph"/>
        <w:rPr>
          <w:rFonts w:cs="Arial"/>
        </w:rPr>
      </w:pPr>
      <w:r w:rsidRPr="00183956">
        <w:t xml:space="preserve">The ODS workforce is overwhelmingly male, i.e. 570 staff or 88% of the workforce, as at 31 March 2019. Only 14 males (circa 3%) work on a part-time basis. Of the 75 female staff only 9 (or 11%) work on a part-time basis. A significant amount of the ODS workforce are employed in lower graded roles when compared to the Council’s workforce. </w:t>
      </w:r>
    </w:p>
    <w:p w14:paraId="1A24A07C" w14:textId="77777777" w:rsidR="006D642F" w:rsidRDefault="006D642F" w:rsidP="006D642F">
      <w:pPr>
        <w:pStyle w:val="ListParagraph"/>
      </w:pPr>
      <w:r>
        <w:t xml:space="preserve">The distribution of males and females across the </w:t>
      </w:r>
      <w:r w:rsidR="007C4382">
        <w:t xml:space="preserve">OCC and </w:t>
      </w:r>
      <w:r>
        <w:t>ODS grade structure</w:t>
      </w:r>
      <w:r w:rsidR="007C4382">
        <w:t>s</w:t>
      </w:r>
      <w:r w:rsidR="00C914E5">
        <w:t xml:space="preserve"> </w:t>
      </w:r>
      <w:r w:rsidR="007C4382">
        <w:t>(</w:t>
      </w:r>
      <w:r w:rsidR="00C914E5">
        <w:t>including the craft based grades</w:t>
      </w:r>
      <w:r w:rsidR="007C4382">
        <w:t>)</w:t>
      </w:r>
      <w:r w:rsidR="00C914E5">
        <w:t>,</w:t>
      </w:r>
      <w:r>
        <w:t xml:space="preserve"> is </w:t>
      </w:r>
      <w:r w:rsidR="007C4382">
        <w:t>summarised below</w:t>
      </w:r>
      <w:r>
        <w:t>: -</w:t>
      </w:r>
    </w:p>
    <w:p w14:paraId="0A2D6F0C" w14:textId="77777777" w:rsidR="00E52CD1" w:rsidRDefault="00E52CD1" w:rsidP="00651122">
      <w:pPr>
        <w:ind w:left="426"/>
      </w:pPr>
    </w:p>
    <w:tbl>
      <w:tblPr>
        <w:tblStyle w:val="TableGrid"/>
        <w:tblW w:w="9067" w:type="dxa"/>
        <w:tblInd w:w="426" w:type="dxa"/>
        <w:tblLook w:val="04A0" w:firstRow="1" w:lastRow="0" w:firstColumn="1" w:lastColumn="0" w:noHBand="0" w:noVBand="1"/>
      </w:tblPr>
      <w:tblGrid>
        <w:gridCol w:w="3538"/>
        <w:gridCol w:w="1382"/>
        <w:gridCol w:w="1382"/>
        <w:gridCol w:w="1382"/>
        <w:gridCol w:w="1383"/>
      </w:tblGrid>
      <w:tr w:rsidR="00E52CD1" w14:paraId="58DDBF46" w14:textId="77777777" w:rsidTr="0086552B">
        <w:tc>
          <w:tcPr>
            <w:tcW w:w="3538" w:type="dxa"/>
            <w:tcBorders>
              <w:top w:val="nil"/>
              <w:left w:val="nil"/>
              <w:bottom w:val="nil"/>
              <w:right w:val="single" w:sz="4" w:space="0" w:color="auto"/>
            </w:tcBorders>
          </w:tcPr>
          <w:p w14:paraId="0C09C31B" w14:textId="77777777" w:rsidR="00E52CD1" w:rsidRPr="00E52CD1" w:rsidRDefault="00E52CD1" w:rsidP="00651122">
            <w:pPr>
              <w:rPr>
                <w:sz w:val="22"/>
              </w:rPr>
            </w:pPr>
          </w:p>
        </w:tc>
        <w:tc>
          <w:tcPr>
            <w:tcW w:w="2764" w:type="dxa"/>
            <w:gridSpan w:val="2"/>
            <w:tcBorders>
              <w:left w:val="single" w:sz="4" w:space="0" w:color="auto"/>
              <w:bottom w:val="nil"/>
            </w:tcBorders>
          </w:tcPr>
          <w:p w14:paraId="6D8E8892" w14:textId="77777777" w:rsidR="00E52CD1" w:rsidRPr="00E52CD1" w:rsidRDefault="00E52CD1" w:rsidP="00E52CD1">
            <w:pPr>
              <w:jc w:val="center"/>
              <w:rPr>
                <w:b/>
                <w:sz w:val="22"/>
              </w:rPr>
            </w:pPr>
            <w:r>
              <w:rPr>
                <w:b/>
                <w:sz w:val="22"/>
              </w:rPr>
              <w:t>OCC</w:t>
            </w:r>
          </w:p>
        </w:tc>
        <w:tc>
          <w:tcPr>
            <w:tcW w:w="2765" w:type="dxa"/>
            <w:gridSpan w:val="2"/>
            <w:tcBorders>
              <w:bottom w:val="nil"/>
            </w:tcBorders>
          </w:tcPr>
          <w:p w14:paraId="101A37DC" w14:textId="77777777" w:rsidR="00E52CD1" w:rsidRPr="00E52CD1" w:rsidRDefault="00E52CD1" w:rsidP="00E52CD1">
            <w:pPr>
              <w:jc w:val="center"/>
              <w:rPr>
                <w:b/>
                <w:sz w:val="22"/>
              </w:rPr>
            </w:pPr>
            <w:r>
              <w:rPr>
                <w:b/>
                <w:sz w:val="22"/>
              </w:rPr>
              <w:t>ODS</w:t>
            </w:r>
          </w:p>
        </w:tc>
      </w:tr>
      <w:tr w:rsidR="00E52CD1" w14:paraId="4A953B5B" w14:textId="77777777" w:rsidTr="0086552B">
        <w:tc>
          <w:tcPr>
            <w:tcW w:w="3538" w:type="dxa"/>
            <w:tcBorders>
              <w:top w:val="nil"/>
              <w:left w:val="nil"/>
              <w:bottom w:val="single" w:sz="4" w:space="0" w:color="auto"/>
              <w:right w:val="single" w:sz="4" w:space="0" w:color="auto"/>
            </w:tcBorders>
          </w:tcPr>
          <w:p w14:paraId="4DFFBDCA" w14:textId="77777777" w:rsidR="00E52CD1" w:rsidRPr="00E52CD1" w:rsidRDefault="00E52CD1" w:rsidP="00651122">
            <w:pPr>
              <w:rPr>
                <w:sz w:val="22"/>
              </w:rPr>
            </w:pPr>
          </w:p>
        </w:tc>
        <w:tc>
          <w:tcPr>
            <w:tcW w:w="1382" w:type="dxa"/>
            <w:tcBorders>
              <w:top w:val="nil"/>
              <w:left w:val="single" w:sz="4" w:space="0" w:color="auto"/>
            </w:tcBorders>
          </w:tcPr>
          <w:p w14:paraId="6720D4A8" w14:textId="77777777" w:rsidR="00E52CD1" w:rsidRPr="00E52CD1" w:rsidRDefault="00E52CD1" w:rsidP="00E52CD1">
            <w:pPr>
              <w:jc w:val="center"/>
              <w:rPr>
                <w:b/>
                <w:sz w:val="22"/>
              </w:rPr>
            </w:pPr>
            <w:r w:rsidRPr="00E52CD1">
              <w:rPr>
                <w:b/>
                <w:sz w:val="22"/>
              </w:rPr>
              <w:t>% Females</w:t>
            </w:r>
          </w:p>
        </w:tc>
        <w:tc>
          <w:tcPr>
            <w:tcW w:w="1382" w:type="dxa"/>
            <w:tcBorders>
              <w:top w:val="nil"/>
            </w:tcBorders>
          </w:tcPr>
          <w:p w14:paraId="718B2EE8" w14:textId="77777777" w:rsidR="00E52CD1" w:rsidRPr="00E52CD1" w:rsidRDefault="00E52CD1" w:rsidP="00E52CD1">
            <w:pPr>
              <w:jc w:val="center"/>
              <w:rPr>
                <w:b/>
                <w:sz w:val="22"/>
              </w:rPr>
            </w:pPr>
            <w:r w:rsidRPr="00E52CD1">
              <w:rPr>
                <w:b/>
                <w:sz w:val="22"/>
              </w:rPr>
              <w:t>% Males</w:t>
            </w:r>
          </w:p>
        </w:tc>
        <w:tc>
          <w:tcPr>
            <w:tcW w:w="1382" w:type="dxa"/>
            <w:tcBorders>
              <w:top w:val="nil"/>
            </w:tcBorders>
          </w:tcPr>
          <w:p w14:paraId="0393807B" w14:textId="77777777" w:rsidR="00E52CD1" w:rsidRPr="00E52CD1" w:rsidRDefault="00E52CD1" w:rsidP="00E52CD1">
            <w:pPr>
              <w:jc w:val="center"/>
              <w:rPr>
                <w:b/>
                <w:sz w:val="22"/>
              </w:rPr>
            </w:pPr>
            <w:r w:rsidRPr="00E52CD1">
              <w:rPr>
                <w:b/>
                <w:sz w:val="22"/>
              </w:rPr>
              <w:t>% Females</w:t>
            </w:r>
          </w:p>
        </w:tc>
        <w:tc>
          <w:tcPr>
            <w:tcW w:w="1383" w:type="dxa"/>
            <w:tcBorders>
              <w:top w:val="nil"/>
            </w:tcBorders>
          </w:tcPr>
          <w:p w14:paraId="4CB4AE72" w14:textId="77777777" w:rsidR="00E52CD1" w:rsidRPr="00E52CD1" w:rsidRDefault="00E52CD1" w:rsidP="00E52CD1">
            <w:pPr>
              <w:jc w:val="center"/>
              <w:rPr>
                <w:b/>
                <w:sz w:val="22"/>
              </w:rPr>
            </w:pPr>
            <w:r w:rsidRPr="00E52CD1">
              <w:rPr>
                <w:b/>
                <w:sz w:val="22"/>
              </w:rPr>
              <w:t>% Males</w:t>
            </w:r>
          </w:p>
        </w:tc>
      </w:tr>
      <w:tr w:rsidR="00E52CD1" w14:paraId="1E56E929" w14:textId="77777777" w:rsidTr="0086552B">
        <w:tc>
          <w:tcPr>
            <w:tcW w:w="3538" w:type="dxa"/>
            <w:tcBorders>
              <w:top w:val="single" w:sz="4" w:space="0" w:color="auto"/>
            </w:tcBorders>
          </w:tcPr>
          <w:p w14:paraId="5A12FA22" w14:textId="77777777" w:rsidR="00E52CD1" w:rsidRPr="00E52CD1" w:rsidRDefault="00E52CD1" w:rsidP="00E52CD1">
            <w:pPr>
              <w:rPr>
                <w:sz w:val="22"/>
              </w:rPr>
            </w:pPr>
            <w:r w:rsidRPr="00E52CD1">
              <w:rPr>
                <w:sz w:val="22"/>
              </w:rPr>
              <w:t>Staff employed in Grades 3 to 7</w:t>
            </w:r>
          </w:p>
        </w:tc>
        <w:tc>
          <w:tcPr>
            <w:tcW w:w="1382" w:type="dxa"/>
          </w:tcPr>
          <w:p w14:paraId="2512CFA8" w14:textId="77777777" w:rsidR="00E52CD1" w:rsidRPr="00E52CD1" w:rsidRDefault="00E52CD1" w:rsidP="00E52CD1">
            <w:pPr>
              <w:jc w:val="center"/>
              <w:rPr>
                <w:sz w:val="22"/>
              </w:rPr>
            </w:pPr>
            <w:r>
              <w:rPr>
                <w:sz w:val="22"/>
              </w:rPr>
              <w:t>75%</w:t>
            </w:r>
          </w:p>
        </w:tc>
        <w:tc>
          <w:tcPr>
            <w:tcW w:w="1382" w:type="dxa"/>
          </w:tcPr>
          <w:p w14:paraId="5DB529AF" w14:textId="77777777" w:rsidR="00E52CD1" w:rsidRPr="00E52CD1" w:rsidRDefault="00D5664D" w:rsidP="00E52CD1">
            <w:pPr>
              <w:jc w:val="center"/>
              <w:rPr>
                <w:sz w:val="22"/>
              </w:rPr>
            </w:pPr>
            <w:r>
              <w:rPr>
                <w:sz w:val="22"/>
              </w:rPr>
              <w:t>67%</w:t>
            </w:r>
          </w:p>
        </w:tc>
        <w:tc>
          <w:tcPr>
            <w:tcW w:w="1382" w:type="dxa"/>
          </w:tcPr>
          <w:p w14:paraId="0A0D0D9F" w14:textId="77777777" w:rsidR="00E52CD1" w:rsidRPr="00E52CD1" w:rsidRDefault="00D5664D" w:rsidP="00E52CD1">
            <w:pPr>
              <w:jc w:val="center"/>
              <w:rPr>
                <w:sz w:val="22"/>
              </w:rPr>
            </w:pPr>
            <w:r>
              <w:rPr>
                <w:sz w:val="22"/>
              </w:rPr>
              <w:t>89%</w:t>
            </w:r>
          </w:p>
        </w:tc>
        <w:tc>
          <w:tcPr>
            <w:tcW w:w="1383" w:type="dxa"/>
          </w:tcPr>
          <w:p w14:paraId="31D04795" w14:textId="77777777" w:rsidR="00E52CD1" w:rsidRPr="00E52CD1" w:rsidRDefault="00D5664D" w:rsidP="00E52CD1">
            <w:pPr>
              <w:jc w:val="center"/>
              <w:rPr>
                <w:sz w:val="22"/>
              </w:rPr>
            </w:pPr>
            <w:r>
              <w:rPr>
                <w:sz w:val="22"/>
              </w:rPr>
              <w:t>84%</w:t>
            </w:r>
          </w:p>
        </w:tc>
      </w:tr>
      <w:tr w:rsidR="00E52CD1" w14:paraId="535877DF" w14:textId="77777777" w:rsidTr="00E52CD1">
        <w:tc>
          <w:tcPr>
            <w:tcW w:w="3538" w:type="dxa"/>
          </w:tcPr>
          <w:p w14:paraId="073B8F0F" w14:textId="77777777" w:rsidR="00E52CD1" w:rsidRPr="00E52CD1" w:rsidRDefault="00E52CD1" w:rsidP="00E52CD1">
            <w:pPr>
              <w:rPr>
                <w:sz w:val="22"/>
              </w:rPr>
            </w:pPr>
            <w:r w:rsidRPr="00E52CD1">
              <w:rPr>
                <w:sz w:val="22"/>
              </w:rPr>
              <w:t>Staff employed in Grades 8 to 11</w:t>
            </w:r>
          </w:p>
        </w:tc>
        <w:tc>
          <w:tcPr>
            <w:tcW w:w="1382" w:type="dxa"/>
          </w:tcPr>
          <w:p w14:paraId="12EBD8AA" w14:textId="77777777" w:rsidR="00E52CD1" w:rsidRPr="00E52CD1" w:rsidRDefault="00D5664D" w:rsidP="00E52CD1">
            <w:pPr>
              <w:jc w:val="center"/>
              <w:rPr>
                <w:sz w:val="22"/>
              </w:rPr>
            </w:pPr>
            <w:r>
              <w:rPr>
                <w:sz w:val="22"/>
              </w:rPr>
              <w:t>22%</w:t>
            </w:r>
          </w:p>
        </w:tc>
        <w:tc>
          <w:tcPr>
            <w:tcW w:w="1382" w:type="dxa"/>
          </w:tcPr>
          <w:p w14:paraId="7CE3BDA8" w14:textId="77777777" w:rsidR="00E52CD1" w:rsidRPr="00E52CD1" w:rsidRDefault="00D5664D" w:rsidP="00E52CD1">
            <w:pPr>
              <w:jc w:val="center"/>
              <w:rPr>
                <w:sz w:val="22"/>
              </w:rPr>
            </w:pPr>
            <w:r>
              <w:rPr>
                <w:sz w:val="22"/>
              </w:rPr>
              <w:t>28%</w:t>
            </w:r>
          </w:p>
        </w:tc>
        <w:tc>
          <w:tcPr>
            <w:tcW w:w="1382" w:type="dxa"/>
          </w:tcPr>
          <w:p w14:paraId="47EFD64F" w14:textId="77777777" w:rsidR="00E52CD1" w:rsidRPr="00E52CD1" w:rsidRDefault="00D5664D" w:rsidP="00E52CD1">
            <w:pPr>
              <w:jc w:val="center"/>
              <w:rPr>
                <w:sz w:val="22"/>
              </w:rPr>
            </w:pPr>
            <w:r>
              <w:rPr>
                <w:sz w:val="22"/>
              </w:rPr>
              <w:t>11%</w:t>
            </w:r>
          </w:p>
        </w:tc>
        <w:tc>
          <w:tcPr>
            <w:tcW w:w="1383" w:type="dxa"/>
          </w:tcPr>
          <w:p w14:paraId="56FD6D57" w14:textId="77777777" w:rsidR="00E52CD1" w:rsidRPr="00E52CD1" w:rsidRDefault="00D5664D" w:rsidP="00E52CD1">
            <w:pPr>
              <w:jc w:val="center"/>
              <w:rPr>
                <w:sz w:val="22"/>
              </w:rPr>
            </w:pPr>
            <w:r>
              <w:rPr>
                <w:sz w:val="22"/>
              </w:rPr>
              <w:t>15%</w:t>
            </w:r>
          </w:p>
        </w:tc>
      </w:tr>
      <w:tr w:rsidR="00E52CD1" w14:paraId="5FDC05F4" w14:textId="77777777" w:rsidTr="00E52CD1">
        <w:tc>
          <w:tcPr>
            <w:tcW w:w="3538" w:type="dxa"/>
          </w:tcPr>
          <w:p w14:paraId="03FB9AFB" w14:textId="77777777" w:rsidR="00E52CD1" w:rsidRPr="00E52CD1" w:rsidRDefault="00E52CD1" w:rsidP="00E52CD1">
            <w:pPr>
              <w:rPr>
                <w:sz w:val="22"/>
              </w:rPr>
            </w:pPr>
            <w:r w:rsidRPr="00E52CD1">
              <w:rPr>
                <w:sz w:val="22"/>
              </w:rPr>
              <w:t>Staff employed in senior roles</w:t>
            </w:r>
          </w:p>
        </w:tc>
        <w:tc>
          <w:tcPr>
            <w:tcW w:w="1382" w:type="dxa"/>
          </w:tcPr>
          <w:p w14:paraId="6675310D" w14:textId="77777777" w:rsidR="00E52CD1" w:rsidRPr="00E52CD1" w:rsidRDefault="00D5664D" w:rsidP="00E52CD1">
            <w:pPr>
              <w:jc w:val="center"/>
              <w:rPr>
                <w:sz w:val="22"/>
              </w:rPr>
            </w:pPr>
            <w:r>
              <w:rPr>
                <w:sz w:val="22"/>
              </w:rPr>
              <w:t>3%</w:t>
            </w:r>
          </w:p>
        </w:tc>
        <w:tc>
          <w:tcPr>
            <w:tcW w:w="1382" w:type="dxa"/>
          </w:tcPr>
          <w:p w14:paraId="38E79D75" w14:textId="77777777" w:rsidR="00E52CD1" w:rsidRPr="00E52CD1" w:rsidRDefault="00D5664D" w:rsidP="00E52CD1">
            <w:pPr>
              <w:jc w:val="center"/>
              <w:rPr>
                <w:sz w:val="22"/>
              </w:rPr>
            </w:pPr>
            <w:r>
              <w:rPr>
                <w:sz w:val="22"/>
              </w:rPr>
              <w:t>5%</w:t>
            </w:r>
          </w:p>
        </w:tc>
        <w:tc>
          <w:tcPr>
            <w:tcW w:w="1382" w:type="dxa"/>
          </w:tcPr>
          <w:p w14:paraId="28907443" w14:textId="77777777" w:rsidR="00E52CD1" w:rsidRPr="00E52CD1" w:rsidRDefault="00D5664D" w:rsidP="00E52CD1">
            <w:pPr>
              <w:jc w:val="center"/>
              <w:rPr>
                <w:sz w:val="22"/>
              </w:rPr>
            </w:pPr>
            <w:r>
              <w:rPr>
                <w:sz w:val="22"/>
              </w:rPr>
              <w:t>0%</w:t>
            </w:r>
          </w:p>
        </w:tc>
        <w:tc>
          <w:tcPr>
            <w:tcW w:w="1383" w:type="dxa"/>
          </w:tcPr>
          <w:p w14:paraId="48C8F140" w14:textId="77777777" w:rsidR="00E52CD1" w:rsidRPr="00E52CD1" w:rsidRDefault="00D5664D" w:rsidP="00E52CD1">
            <w:pPr>
              <w:jc w:val="center"/>
              <w:rPr>
                <w:sz w:val="22"/>
              </w:rPr>
            </w:pPr>
            <w:r>
              <w:rPr>
                <w:sz w:val="22"/>
              </w:rPr>
              <w:t>1%</w:t>
            </w:r>
          </w:p>
        </w:tc>
      </w:tr>
    </w:tbl>
    <w:p w14:paraId="16DD5C73" w14:textId="77777777" w:rsidR="00E52CD1" w:rsidRDefault="00E52CD1" w:rsidP="00651122">
      <w:pPr>
        <w:ind w:left="426"/>
      </w:pPr>
    </w:p>
    <w:p w14:paraId="45307674" w14:textId="77777777" w:rsidR="00651122" w:rsidRDefault="00651122" w:rsidP="00651122">
      <w:pPr>
        <w:ind w:left="426"/>
      </w:pPr>
      <w:r>
        <w:t xml:space="preserve">Appendix 3 provides more detailed information on the distribution </w:t>
      </w:r>
      <w:r w:rsidR="00D5664D">
        <w:t>o</w:t>
      </w:r>
      <w:r>
        <w:t>f female and male staff by gra</w:t>
      </w:r>
      <w:r w:rsidR="006B38E2">
        <w:t>de for both the Council and ODS</w:t>
      </w:r>
      <w:r>
        <w:t>.</w:t>
      </w:r>
    </w:p>
    <w:p w14:paraId="6F3D0F56" w14:textId="73040F5B" w:rsidR="009C6F45" w:rsidRPr="00DE3389" w:rsidRDefault="007C4382" w:rsidP="002A4EF0">
      <w:pPr>
        <w:pStyle w:val="ListParagraph"/>
      </w:pPr>
      <w:r>
        <w:t>T</w:t>
      </w:r>
      <w:r w:rsidR="00CC7A83">
        <w:t xml:space="preserve">he removal of the ODS workforce from the gender pay data </w:t>
      </w:r>
      <w:r w:rsidR="00651122">
        <w:t>has</w:t>
      </w:r>
      <w:r w:rsidR="00CC7A83">
        <w:t xml:space="preserve"> significant</w:t>
      </w:r>
      <w:r w:rsidR="00EC654D">
        <w:t>ly</w:t>
      </w:r>
      <w:r w:rsidR="00CC7A83">
        <w:t xml:space="preserve"> </w:t>
      </w:r>
      <w:r w:rsidR="00EC654D">
        <w:t>altered the</w:t>
      </w:r>
      <w:r w:rsidR="00CC7A83">
        <w:t xml:space="preserve"> ‘shap</w:t>
      </w:r>
      <w:r w:rsidR="00EC654D">
        <w:t>e</w:t>
      </w:r>
      <w:r w:rsidR="00CC7A83">
        <w:t>’</w:t>
      </w:r>
      <w:r w:rsidR="00E9191F">
        <w:t xml:space="preserve"> of </w:t>
      </w:r>
      <w:r w:rsidR="00CC7A83">
        <w:t xml:space="preserve"> the Council’s reporting indices, </w:t>
      </w:r>
      <w:r>
        <w:t xml:space="preserve">as the greater proportion of males in ODS employed in lower paid roles helped to reduce the </w:t>
      </w:r>
      <w:r w:rsidR="00EE711E">
        <w:t xml:space="preserve">gender gap for both </w:t>
      </w:r>
      <w:r>
        <w:t xml:space="preserve">mean and median basic pay indices </w:t>
      </w:r>
      <w:r w:rsidR="003D7EC1">
        <w:t xml:space="preserve">as </w:t>
      </w:r>
      <w:r w:rsidR="00EE711E">
        <w:t xml:space="preserve">detailed </w:t>
      </w:r>
      <w:r>
        <w:t>in the previous two reports</w:t>
      </w:r>
      <w:r w:rsidR="002A4EF0">
        <w:t>.</w:t>
      </w:r>
      <w:r w:rsidR="00651122">
        <w:t xml:space="preserve"> This impact is better illustrated in diagrammatic form, as shown at Appendix 4 for </w:t>
      </w:r>
      <w:r w:rsidR="00651122" w:rsidRPr="00DE3389">
        <w:t>both the Council and ODS.</w:t>
      </w:r>
    </w:p>
    <w:p w14:paraId="14825639" w14:textId="5849E5C9" w:rsidR="008B7DFC" w:rsidRPr="00DE3389" w:rsidRDefault="002B40FD" w:rsidP="002A4EF0">
      <w:pPr>
        <w:pStyle w:val="ListParagraph"/>
      </w:pPr>
      <w:r w:rsidRPr="00DE3389">
        <w:t>Disaggregating t</w:t>
      </w:r>
      <w:r w:rsidR="009C6F45" w:rsidRPr="00DE3389">
        <w:t xml:space="preserve">he </w:t>
      </w:r>
      <w:r w:rsidR="008B7DFC" w:rsidRPr="00DE3389">
        <w:t xml:space="preserve">gender pay data reported </w:t>
      </w:r>
      <w:r w:rsidR="002C7197" w:rsidRPr="00DE3389">
        <w:t>at the end of</w:t>
      </w:r>
      <w:r w:rsidR="008B7DFC" w:rsidRPr="00DE3389">
        <w:t xml:space="preserve"> March</w:t>
      </w:r>
      <w:r w:rsidR="002C7197" w:rsidRPr="00DE3389">
        <w:t xml:space="preserve"> </w:t>
      </w:r>
      <w:r w:rsidRPr="00DE3389">
        <w:t xml:space="preserve">2019 (i.e. for the reporting date of 31 March 2018) </w:t>
      </w:r>
      <w:r w:rsidR="00DB0E68" w:rsidRPr="00DE3389">
        <w:t>indicat</w:t>
      </w:r>
      <w:r w:rsidRPr="00DE3389">
        <w:t xml:space="preserve">es that the mean and median gender pay gap indices for </w:t>
      </w:r>
      <w:r w:rsidR="008B7DFC" w:rsidRPr="00DE3389">
        <w:t xml:space="preserve">both OCC and ODS </w:t>
      </w:r>
      <w:r w:rsidRPr="00DE3389">
        <w:t>are</w:t>
      </w:r>
      <w:r w:rsidR="008B7DFC" w:rsidRPr="00DE3389">
        <w:t xml:space="preserve"> broadly comparable with other employers </w:t>
      </w:r>
      <w:r w:rsidR="00614AA3" w:rsidRPr="00DE3389">
        <w:t>with</w:t>
      </w:r>
      <w:r w:rsidR="008B7DFC" w:rsidRPr="00DE3389">
        <w:t xml:space="preserve">in </w:t>
      </w:r>
      <w:r w:rsidRPr="00DE3389">
        <w:t xml:space="preserve">local </w:t>
      </w:r>
      <w:r w:rsidR="008B7DFC" w:rsidRPr="00DE3389">
        <w:t>area</w:t>
      </w:r>
      <w:r w:rsidR="00614AA3" w:rsidRPr="00DE3389">
        <w:t>,</w:t>
      </w:r>
      <w:r w:rsidR="008B7DFC" w:rsidRPr="00DE3389">
        <w:t xml:space="preserve"> </w:t>
      </w:r>
      <w:r w:rsidRPr="00DE3389">
        <w:t xml:space="preserve">but do not compare </w:t>
      </w:r>
      <w:r w:rsidR="008B7DFC" w:rsidRPr="00DE3389">
        <w:t xml:space="preserve">as well </w:t>
      </w:r>
      <w:r w:rsidRPr="00DE3389">
        <w:t>with</w:t>
      </w:r>
      <w:r w:rsidR="008B7DFC" w:rsidRPr="00DE3389">
        <w:t xml:space="preserve"> Cambridge </w:t>
      </w:r>
      <w:r w:rsidR="002C7197" w:rsidRPr="00DE3389">
        <w:t xml:space="preserve">City </w:t>
      </w:r>
      <w:r w:rsidR="008B7DFC" w:rsidRPr="00DE3389">
        <w:t xml:space="preserve">and Reading </w:t>
      </w:r>
      <w:r w:rsidR="002C7197" w:rsidRPr="00DE3389">
        <w:t xml:space="preserve">Borough </w:t>
      </w:r>
      <w:r w:rsidR="008B7DFC" w:rsidRPr="00DE3389">
        <w:t>Council</w:t>
      </w:r>
      <w:r w:rsidRPr="00DE3389">
        <w:t xml:space="preserve"> data</w:t>
      </w:r>
      <w:r w:rsidR="008B7DFC" w:rsidRPr="00DE3389">
        <w:t xml:space="preserve">. </w:t>
      </w:r>
      <w:r w:rsidR="00DB0E68" w:rsidRPr="00DE3389">
        <w:t>(</w:t>
      </w:r>
      <w:r w:rsidR="008B7DFC" w:rsidRPr="00DE3389">
        <w:t xml:space="preserve">Appendix </w:t>
      </w:r>
      <w:r w:rsidR="00E362EC" w:rsidRPr="00DE3389">
        <w:t>5</w:t>
      </w:r>
      <w:r w:rsidR="008B7DFC" w:rsidRPr="00DE3389">
        <w:t xml:space="preserve"> provide</w:t>
      </w:r>
      <w:r w:rsidR="002C7197" w:rsidRPr="00DE3389">
        <w:t>s</w:t>
      </w:r>
      <w:r w:rsidR="008B7DFC" w:rsidRPr="00DE3389">
        <w:t xml:space="preserve"> a table of the gender pay report data </w:t>
      </w:r>
      <w:r w:rsidR="00DB0E68" w:rsidRPr="00DE3389">
        <w:t>from March 2019</w:t>
      </w:r>
      <w:r w:rsidRPr="00DE3389">
        <w:t xml:space="preserve"> </w:t>
      </w:r>
      <w:r w:rsidR="008B7DFC" w:rsidRPr="00DE3389">
        <w:t>for reference</w:t>
      </w:r>
      <w:r w:rsidR="00DB0E68" w:rsidRPr="00DE3389">
        <w:t>)</w:t>
      </w:r>
      <w:r w:rsidR="008B7DFC" w:rsidRPr="00DE3389">
        <w:t>.</w:t>
      </w:r>
    </w:p>
    <w:p w14:paraId="67328579" w14:textId="6E8745A6" w:rsidR="002C7197" w:rsidRPr="00DE3389" w:rsidRDefault="002C7197" w:rsidP="002C7197">
      <w:pPr>
        <w:pStyle w:val="ListParagraph"/>
      </w:pPr>
      <w:r w:rsidRPr="00DE3389">
        <w:t xml:space="preserve">Addressing the challenge presented by the pay gap </w:t>
      </w:r>
      <w:r w:rsidR="00DB0E68" w:rsidRPr="00DE3389">
        <w:t xml:space="preserve">within the City Council </w:t>
      </w:r>
      <w:r w:rsidRPr="00DE3389">
        <w:t>in favour of males</w:t>
      </w:r>
      <w:r w:rsidR="00DB0E68" w:rsidRPr="00DE3389">
        <w:t>, as</w:t>
      </w:r>
      <w:r w:rsidRPr="00DE3389">
        <w:t xml:space="preserve"> </w:t>
      </w:r>
      <w:r w:rsidR="002B40FD" w:rsidRPr="00DE3389">
        <w:t>reported above</w:t>
      </w:r>
      <w:r w:rsidR="00DB0E68" w:rsidRPr="00DE3389">
        <w:t>,</w:t>
      </w:r>
      <w:r w:rsidRPr="00DE3389">
        <w:t xml:space="preserve"> is </w:t>
      </w:r>
      <w:r w:rsidRPr="00DE3389">
        <w:rPr>
          <w:b/>
        </w:rPr>
        <w:t xml:space="preserve">not </w:t>
      </w:r>
      <w:r w:rsidRPr="00DE3389">
        <w:t>focused on equal pay consideration</w:t>
      </w:r>
      <w:r w:rsidR="00AB0AE1" w:rsidRPr="00DE3389">
        <w:t>:</w:t>
      </w:r>
      <w:r w:rsidR="00B87DB2" w:rsidRPr="00DE3389">
        <w:t xml:space="preserve"> </w:t>
      </w:r>
      <w:proofErr w:type="gramStart"/>
      <w:r w:rsidR="00AD3338" w:rsidRPr="00DE3389">
        <w:t xml:space="preserve">staff on the </w:t>
      </w:r>
      <w:r w:rsidR="00B87DB2" w:rsidRPr="00DE3389">
        <w:t xml:space="preserve">same </w:t>
      </w:r>
      <w:r w:rsidR="00AD3338" w:rsidRPr="00DE3389">
        <w:t>sa</w:t>
      </w:r>
      <w:r w:rsidR="002B40FD" w:rsidRPr="00DE3389">
        <w:t xml:space="preserve">lary point within </w:t>
      </w:r>
      <w:r w:rsidR="00B87DB2" w:rsidRPr="00DE3389">
        <w:t>e</w:t>
      </w:r>
      <w:r w:rsidR="002B40FD" w:rsidRPr="00DE3389">
        <w:t>a</w:t>
      </w:r>
      <w:r w:rsidR="00B87DB2" w:rsidRPr="00DE3389">
        <w:t>ch</w:t>
      </w:r>
      <w:r w:rsidR="002B40FD" w:rsidRPr="00DE3389">
        <w:t xml:space="preserve"> grade</w:t>
      </w:r>
      <w:r w:rsidR="00AD3338" w:rsidRPr="00DE3389">
        <w:t xml:space="preserve"> </w:t>
      </w:r>
      <w:r w:rsidR="002B40FD" w:rsidRPr="00DE3389">
        <w:t>receive</w:t>
      </w:r>
      <w:proofErr w:type="gramEnd"/>
      <w:r w:rsidR="00AD3338" w:rsidRPr="00DE3389">
        <w:t xml:space="preserve"> the same </w:t>
      </w:r>
      <w:r w:rsidR="001E4688" w:rsidRPr="00DE3389">
        <w:t xml:space="preserve">hourly </w:t>
      </w:r>
      <w:r w:rsidR="00AD3338" w:rsidRPr="00DE3389">
        <w:t>pay</w:t>
      </w:r>
      <w:r w:rsidR="002B40FD" w:rsidRPr="00DE3389">
        <w:t>,</w:t>
      </w:r>
      <w:r w:rsidR="00AD3338" w:rsidRPr="00DE3389">
        <w:t xml:space="preserve"> irrespective of gender</w:t>
      </w:r>
      <w:r w:rsidR="002B40FD" w:rsidRPr="00DE3389">
        <w:t xml:space="preserve">. Success in closing </w:t>
      </w:r>
      <w:r w:rsidR="00B87DB2" w:rsidRPr="00DE3389">
        <w:t xml:space="preserve">Council’s </w:t>
      </w:r>
      <w:r w:rsidR="002B40FD" w:rsidRPr="00DE3389">
        <w:t xml:space="preserve">gender pay gap will be achieved </w:t>
      </w:r>
      <w:r w:rsidR="005C02A6" w:rsidRPr="00DE3389">
        <w:t>through</w:t>
      </w:r>
      <w:r w:rsidR="002C5CDE" w:rsidRPr="00DE3389">
        <w:t xml:space="preserve"> its</w:t>
      </w:r>
      <w:r w:rsidR="00B87DB2" w:rsidRPr="00DE3389">
        <w:t xml:space="preserve"> </w:t>
      </w:r>
      <w:r w:rsidR="002B40FD" w:rsidRPr="00DE3389">
        <w:t>employment policies and practices, including</w:t>
      </w:r>
      <w:r w:rsidRPr="00DE3389">
        <w:t>: recruitment approaches and methods that promote the Council as an employer</w:t>
      </w:r>
      <w:r w:rsidR="00B87DB2" w:rsidRPr="00DE3389">
        <w:t xml:space="preserve"> of choice</w:t>
      </w:r>
      <w:r w:rsidR="002C5CDE" w:rsidRPr="00DE3389">
        <w:t xml:space="preserve"> and</w:t>
      </w:r>
      <w:r w:rsidR="002B40FD" w:rsidRPr="00DE3389">
        <w:t xml:space="preserve">  </w:t>
      </w:r>
      <w:r w:rsidR="002B40FD" w:rsidRPr="00DE3389">
        <w:lastRenderedPageBreak/>
        <w:t>place to build a great career</w:t>
      </w:r>
      <w:r w:rsidR="00AB0AE1" w:rsidRPr="00DE3389">
        <w:t>,</w:t>
      </w:r>
      <w:r w:rsidR="002B40FD" w:rsidRPr="00DE3389">
        <w:t xml:space="preserve"> </w:t>
      </w:r>
      <w:r w:rsidR="002C5CDE" w:rsidRPr="00DE3389">
        <w:t>with</w:t>
      </w:r>
      <w:r w:rsidR="00B87DB2" w:rsidRPr="00DE3389">
        <w:t xml:space="preserve"> </w:t>
      </w:r>
      <w:r w:rsidR="00611A51" w:rsidRPr="00DE3389">
        <w:t>access to</w:t>
      </w:r>
      <w:r w:rsidR="00293F7B" w:rsidRPr="00DE3389">
        <w:t xml:space="preserve"> a range of </w:t>
      </w:r>
      <w:r w:rsidRPr="00DE3389">
        <w:t xml:space="preserve">flexible working arrangements; employment policy and enabling technologies that facilitate </w:t>
      </w:r>
      <w:r w:rsidR="00B87DB2" w:rsidRPr="00DE3389">
        <w:t xml:space="preserve">greater </w:t>
      </w:r>
      <w:r w:rsidRPr="00DE3389">
        <w:t>flexibility in the time, place and manner by which work is performed</w:t>
      </w:r>
      <w:r w:rsidR="00B87DB2" w:rsidRPr="00DE3389">
        <w:t xml:space="preserve"> to enable staff to achieve a</w:t>
      </w:r>
      <w:r w:rsidR="007A512C" w:rsidRPr="00DE3389">
        <w:t xml:space="preserve">n effective </w:t>
      </w:r>
      <w:r w:rsidR="00B87DB2" w:rsidRPr="00DE3389">
        <w:t xml:space="preserve">balance between work </w:t>
      </w:r>
      <w:r w:rsidR="00223484" w:rsidRPr="00DE3389">
        <w:t xml:space="preserve">and </w:t>
      </w:r>
      <w:r w:rsidR="00AB0AE1" w:rsidRPr="00DE3389">
        <w:t xml:space="preserve">their </w:t>
      </w:r>
      <w:r w:rsidR="00223484" w:rsidRPr="00DE3389">
        <w:t>home commitments</w:t>
      </w:r>
      <w:r w:rsidRPr="00DE3389">
        <w:t xml:space="preserve">; and training and organisational development initiatives to encourage and support greater levels of participation by female colleagues within higher graded roles in the Council. These issues form an integral part of the revised Equalities Action Plan recently approved by Cabinet. </w:t>
      </w:r>
    </w:p>
    <w:p w14:paraId="1E530B39" w14:textId="47B9469B" w:rsidR="00162233" w:rsidRPr="00DE3389" w:rsidRDefault="00162233">
      <w:pPr>
        <w:spacing w:after="0"/>
        <w:rPr>
          <w:rFonts w:cs="Arial"/>
          <w:b/>
        </w:rPr>
      </w:pPr>
    </w:p>
    <w:p w14:paraId="72E239A9" w14:textId="77777777" w:rsidR="00B9392A" w:rsidRPr="00DE3389" w:rsidRDefault="00B9392A" w:rsidP="00B9392A">
      <w:pPr>
        <w:rPr>
          <w:rFonts w:cs="Arial"/>
          <w:b/>
        </w:rPr>
      </w:pPr>
      <w:r w:rsidRPr="00DE3389">
        <w:rPr>
          <w:rFonts w:cs="Arial"/>
          <w:b/>
        </w:rPr>
        <w:t>Conclusions</w:t>
      </w:r>
    </w:p>
    <w:p w14:paraId="3D01D2CE" w14:textId="3E5020EB" w:rsidR="00DE3389" w:rsidRDefault="00DE3389" w:rsidP="00812A02">
      <w:pPr>
        <w:pStyle w:val="ListParagraph"/>
      </w:pPr>
      <w:r w:rsidRPr="00DE3389">
        <w:t>The next set of gender pay gap data to be reported by 30 March 2020 (Appendix 1) represents a marked change when compared to the reports published in March 2018 and 2019. The Council’s gender pay gap data for 2019 was not out of step with that of other local employers, but was higher than those reported for both Cambridge and Reading Councils in 2019 (please refer to Appendix 5).</w:t>
      </w:r>
    </w:p>
    <w:p w14:paraId="62C5D8FD" w14:textId="6FA99F3D" w:rsidR="002C7197" w:rsidRDefault="00642C86" w:rsidP="00812A02">
      <w:pPr>
        <w:pStyle w:val="ListParagraph"/>
      </w:pPr>
      <w:r>
        <w:t>It is anticipated that the combination of flexible working approaches, the planned roll-out of enabling technologies and equipment and availability of training and career development opportunities will facilitate a reshaping of the Council’s workforce and, thereby, G</w:t>
      </w:r>
      <w:r w:rsidR="00505284">
        <w:t>e</w:t>
      </w:r>
      <w:r>
        <w:t>nder Pay reporting statistics.</w:t>
      </w:r>
    </w:p>
    <w:p w14:paraId="09120BDB" w14:textId="77777777" w:rsidR="006E4450" w:rsidRDefault="006E4450" w:rsidP="004A6D2F">
      <w:pPr>
        <w:pStyle w:val="Heading1"/>
      </w:pPr>
    </w:p>
    <w:p w14:paraId="4DC7EA7D" w14:textId="77777777" w:rsidR="0040736F" w:rsidRDefault="002329CF" w:rsidP="004A6D2F">
      <w:pPr>
        <w:pStyle w:val="Heading1"/>
      </w:pPr>
      <w:r w:rsidRPr="001356F1">
        <w:t>Financial implications</w:t>
      </w:r>
    </w:p>
    <w:p w14:paraId="097B8F03" w14:textId="77777777" w:rsidR="00E87F7A" w:rsidRDefault="008D211E" w:rsidP="005570B5">
      <w:pPr>
        <w:pStyle w:val="ListParagraph"/>
      </w:pPr>
      <w:r>
        <w:t>There are n</w:t>
      </w:r>
      <w:r w:rsidR="00707900">
        <w:t>o financial implications</w:t>
      </w:r>
      <w:r>
        <w:t xml:space="preserve"> associated with this report.</w:t>
      </w:r>
    </w:p>
    <w:p w14:paraId="58F6D020" w14:textId="77777777" w:rsidR="006E4450" w:rsidRDefault="006E4450" w:rsidP="006E4450">
      <w:pPr>
        <w:rPr>
          <w:b/>
        </w:rPr>
      </w:pPr>
    </w:p>
    <w:p w14:paraId="782BFB0F" w14:textId="6D39F3A0" w:rsidR="006E4450" w:rsidRPr="006E4450" w:rsidRDefault="006E4450" w:rsidP="006E4450">
      <w:pPr>
        <w:rPr>
          <w:b/>
        </w:rPr>
      </w:pPr>
      <w:r w:rsidRPr="006E4450">
        <w:rPr>
          <w:b/>
        </w:rPr>
        <w:t>Level of Risk</w:t>
      </w:r>
    </w:p>
    <w:p w14:paraId="642A1225" w14:textId="0611B204" w:rsidR="003634C2" w:rsidRPr="006E4450" w:rsidRDefault="006E4450" w:rsidP="008D211E">
      <w:pPr>
        <w:pStyle w:val="ListParagraph"/>
      </w:pPr>
      <w:r>
        <w:t>A Risk Register is supplied separately as Appendix 6 to this report.</w:t>
      </w:r>
    </w:p>
    <w:p w14:paraId="6FE6ECA9" w14:textId="77777777" w:rsidR="006E4450" w:rsidRDefault="006E4450" w:rsidP="008D211E">
      <w:pPr>
        <w:rPr>
          <w:b/>
        </w:rPr>
      </w:pPr>
    </w:p>
    <w:p w14:paraId="3D070E27" w14:textId="77777777" w:rsidR="008D211E" w:rsidRPr="008D211E" w:rsidRDefault="008D211E" w:rsidP="008D211E">
      <w:pPr>
        <w:rPr>
          <w:b/>
        </w:rPr>
      </w:pPr>
      <w:r>
        <w:rPr>
          <w:b/>
        </w:rPr>
        <w:t>Legal Issues</w:t>
      </w:r>
    </w:p>
    <w:p w14:paraId="52B6B98C" w14:textId="77777777" w:rsidR="008D211E" w:rsidRDefault="008D211E" w:rsidP="00EF47A4">
      <w:pPr>
        <w:pStyle w:val="ListParagraph"/>
        <w:rPr>
          <w:rFonts w:ascii="Verdana" w:hAnsi="Verdana" w:cs="Verdana"/>
          <w:color w:val="auto"/>
          <w:sz w:val="25"/>
          <w:szCs w:val="25"/>
          <w:lang w:eastAsia="en-US"/>
        </w:rPr>
      </w:pPr>
      <w:r>
        <w:t xml:space="preserve">The Equality Act 2010 (Specific Duties and Public Authorities) Regulations 2017 require the Council to publish information annually about how it complies with the Public Sector Equality Duty. </w:t>
      </w:r>
    </w:p>
    <w:p w14:paraId="59693B8C" w14:textId="21226EA5" w:rsidR="00DE3389" w:rsidRDefault="008D211E" w:rsidP="005F4994">
      <w:pPr>
        <w:pStyle w:val="ListParagraph"/>
        <w:spacing w:after="0"/>
      </w:pPr>
      <w:r>
        <w:rPr>
          <w:lang w:eastAsia="en-US"/>
        </w:rPr>
        <w:t xml:space="preserve">The Regulations also impose obligations on the Council to publish information relating to the gender pay gap in the organisation </w:t>
      </w:r>
      <w:r w:rsidR="00C63C35">
        <w:rPr>
          <w:lang w:eastAsia="en-US"/>
        </w:rPr>
        <w:t xml:space="preserve">based </w:t>
      </w:r>
      <w:r>
        <w:rPr>
          <w:lang w:eastAsia="en-US"/>
        </w:rPr>
        <w:t xml:space="preserve">on </w:t>
      </w:r>
      <w:r w:rsidR="00C63C35">
        <w:rPr>
          <w:lang w:eastAsia="en-US"/>
        </w:rPr>
        <w:t>a</w:t>
      </w:r>
      <w:r>
        <w:rPr>
          <w:lang w:eastAsia="en-US"/>
        </w:rPr>
        <w:t xml:space="preserve"> </w:t>
      </w:r>
      <w:r w:rsidR="00C63C35">
        <w:rPr>
          <w:lang w:eastAsia="en-US"/>
        </w:rPr>
        <w:t>‘</w:t>
      </w:r>
      <w:r>
        <w:rPr>
          <w:lang w:eastAsia="en-US"/>
        </w:rPr>
        <w:t>snapshot date</w:t>
      </w:r>
      <w:r w:rsidR="00C63C35">
        <w:rPr>
          <w:lang w:eastAsia="en-US"/>
        </w:rPr>
        <w:t>’</w:t>
      </w:r>
      <w:r>
        <w:rPr>
          <w:lang w:eastAsia="en-US"/>
        </w:rPr>
        <w:t xml:space="preserve"> of 31</w:t>
      </w:r>
      <w:r w:rsidRPr="003459FF">
        <w:rPr>
          <w:vertAlign w:val="superscript"/>
          <w:lang w:eastAsia="en-US"/>
        </w:rPr>
        <w:t>st</w:t>
      </w:r>
      <w:r>
        <w:rPr>
          <w:lang w:eastAsia="en-US"/>
        </w:rPr>
        <w:t xml:space="preserve"> March in any year. </w:t>
      </w:r>
      <w:r w:rsidR="00DE3389">
        <w:br w:type="page"/>
      </w:r>
    </w:p>
    <w:p w14:paraId="1177E35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9B825E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51E3C82"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404081D" w14:textId="77777777" w:rsidR="00E87F7A" w:rsidRPr="001356F1" w:rsidRDefault="00562826" w:rsidP="00A46E98">
            <w:r>
              <w:t>Helen Bishop</w:t>
            </w:r>
          </w:p>
        </w:tc>
      </w:tr>
      <w:tr w:rsidR="00DF093E" w:rsidRPr="001356F1" w14:paraId="1468FEC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89352A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6D5D569" w14:textId="77777777" w:rsidR="00E87F7A" w:rsidRPr="001356F1" w:rsidRDefault="00562826" w:rsidP="00A46E98">
            <w:r>
              <w:t xml:space="preserve">Head of Business Improvement </w:t>
            </w:r>
          </w:p>
        </w:tc>
      </w:tr>
      <w:tr w:rsidR="00DF093E" w:rsidRPr="001356F1" w14:paraId="75E3839B" w14:textId="77777777" w:rsidTr="00A46E98">
        <w:trPr>
          <w:cantSplit/>
          <w:trHeight w:val="396"/>
        </w:trPr>
        <w:tc>
          <w:tcPr>
            <w:tcW w:w="3969" w:type="dxa"/>
            <w:tcBorders>
              <w:top w:val="nil"/>
              <w:left w:val="single" w:sz="8" w:space="0" w:color="000000"/>
              <w:bottom w:val="nil"/>
              <w:right w:val="nil"/>
            </w:tcBorders>
            <w:shd w:val="clear" w:color="auto" w:fill="auto"/>
          </w:tcPr>
          <w:p w14:paraId="1B02E5C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935895C" w14:textId="77777777" w:rsidR="00E87F7A" w:rsidRPr="001356F1" w:rsidRDefault="00562826" w:rsidP="00A46E98">
            <w:r>
              <w:t>Business Improvement</w:t>
            </w:r>
          </w:p>
        </w:tc>
      </w:tr>
      <w:tr w:rsidR="00DF093E" w:rsidRPr="001356F1" w14:paraId="141CD6CB" w14:textId="77777777" w:rsidTr="00A46E98">
        <w:trPr>
          <w:cantSplit/>
          <w:trHeight w:val="396"/>
        </w:trPr>
        <w:tc>
          <w:tcPr>
            <w:tcW w:w="3969" w:type="dxa"/>
            <w:tcBorders>
              <w:top w:val="nil"/>
              <w:left w:val="single" w:sz="8" w:space="0" w:color="000000"/>
              <w:bottom w:val="nil"/>
              <w:right w:val="nil"/>
            </w:tcBorders>
            <w:shd w:val="clear" w:color="auto" w:fill="auto"/>
          </w:tcPr>
          <w:p w14:paraId="343CD4C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CBCDAA6" w14:textId="77777777" w:rsidR="00E87F7A" w:rsidRPr="001356F1" w:rsidRDefault="00562826" w:rsidP="00A46E98">
            <w:r>
              <w:t>01865 255232</w:t>
            </w:r>
          </w:p>
        </w:tc>
      </w:tr>
      <w:tr w:rsidR="005570B5" w:rsidRPr="001356F1" w14:paraId="05C4768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168DDF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F186417" w14:textId="77777777" w:rsidR="00E87F7A" w:rsidRPr="001356F1" w:rsidRDefault="00306FFB" w:rsidP="00A46E98">
            <w:pPr>
              <w:rPr>
                <w:rStyle w:val="Hyperlink"/>
                <w:color w:val="000000"/>
              </w:rPr>
            </w:pPr>
            <w:hyperlink r:id="rId9" w:history="1">
              <w:r w:rsidR="00162233" w:rsidRPr="002A7D5E">
                <w:rPr>
                  <w:rStyle w:val="Hyperlink"/>
                </w:rPr>
                <w:t>hbishop@oxford.gov.uk</w:t>
              </w:r>
            </w:hyperlink>
          </w:p>
        </w:tc>
      </w:tr>
    </w:tbl>
    <w:p w14:paraId="5D0437B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47A33BD7" w14:textId="77777777" w:rsidTr="002425EF">
        <w:tc>
          <w:tcPr>
            <w:tcW w:w="8931" w:type="dxa"/>
            <w:gridSpan w:val="2"/>
            <w:tcBorders>
              <w:top w:val="single" w:sz="8" w:space="0" w:color="auto"/>
              <w:left w:val="single" w:sz="8" w:space="0" w:color="auto"/>
              <w:bottom w:val="single" w:sz="8" w:space="0" w:color="auto"/>
              <w:right w:val="single" w:sz="8" w:space="0" w:color="auto"/>
            </w:tcBorders>
            <w:shd w:val="clear" w:color="auto" w:fill="auto"/>
          </w:tcPr>
          <w:p w14:paraId="05DB42E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3F17F740" w14:textId="77777777" w:rsidTr="002425EF">
        <w:tc>
          <w:tcPr>
            <w:tcW w:w="567" w:type="dxa"/>
            <w:tcBorders>
              <w:top w:val="single" w:sz="8" w:space="0" w:color="auto"/>
              <w:left w:val="single" w:sz="8" w:space="0" w:color="auto"/>
              <w:bottom w:val="single" w:sz="8" w:space="0" w:color="auto"/>
              <w:right w:val="nil"/>
            </w:tcBorders>
            <w:shd w:val="clear" w:color="auto" w:fill="auto"/>
          </w:tcPr>
          <w:p w14:paraId="5C3B745B" w14:textId="77777777" w:rsidR="0093067A" w:rsidRPr="001356F1" w:rsidRDefault="00182B81" w:rsidP="00F41AC1">
            <w:r w:rsidRPr="001356F1">
              <w:t>1</w:t>
            </w:r>
          </w:p>
        </w:tc>
        <w:tc>
          <w:tcPr>
            <w:tcW w:w="8364" w:type="dxa"/>
            <w:tcBorders>
              <w:top w:val="single" w:sz="8" w:space="0" w:color="auto"/>
              <w:left w:val="nil"/>
              <w:bottom w:val="single" w:sz="8" w:space="0" w:color="auto"/>
              <w:right w:val="single" w:sz="8" w:space="0" w:color="auto"/>
            </w:tcBorders>
          </w:tcPr>
          <w:p w14:paraId="6FEBAB4F" w14:textId="77777777" w:rsidR="0093067A" w:rsidRPr="001356F1" w:rsidRDefault="00380F34" w:rsidP="005D0621">
            <w:r>
              <w:t>None</w:t>
            </w:r>
          </w:p>
        </w:tc>
      </w:tr>
    </w:tbl>
    <w:p w14:paraId="343A6E9D" w14:textId="77777777" w:rsidR="00730D7D" w:rsidRDefault="00730D7D" w:rsidP="00C85B4E">
      <w:pPr>
        <w:rPr>
          <w:b/>
        </w:rPr>
      </w:pPr>
    </w:p>
    <w:sectPr w:rsidR="00730D7D" w:rsidSect="008E44C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137B" w14:textId="77777777" w:rsidR="00DE3389" w:rsidRDefault="00DE3389" w:rsidP="004A6D2F">
      <w:r>
        <w:separator/>
      </w:r>
    </w:p>
  </w:endnote>
  <w:endnote w:type="continuationSeparator" w:id="0">
    <w:p w14:paraId="6B46ADC9" w14:textId="77777777" w:rsidR="00DE3389" w:rsidRDefault="00DE338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BBFE" w14:textId="77777777" w:rsidR="00DE3389" w:rsidRDefault="00DE3389" w:rsidP="004A6D2F">
      <w:r>
        <w:separator/>
      </w:r>
    </w:p>
  </w:footnote>
  <w:footnote w:type="continuationSeparator" w:id="0">
    <w:p w14:paraId="13ADE56B" w14:textId="77777777" w:rsidR="00DE3389" w:rsidRDefault="00DE3389"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2A164E"/>
    <w:multiLevelType w:val="hybridMultilevel"/>
    <w:tmpl w:val="D48464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15D3731E"/>
    <w:multiLevelType w:val="hybridMultilevel"/>
    <w:tmpl w:val="1F8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0A22A37"/>
    <w:multiLevelType w:val="hybridMultilevel"/>
    <w:tmpl w:val="623AE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D1847"/>
    <w:multiLevelType w:val="hybridMultilevel"/>
    <w:tmpl w:val="2574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AE5BB6"/>
    <w:multiLevelType w:val="hybridMultilevel"/>
    <w:tmpl w:val="623AE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8D15F9"/>
    <w:multiLevelType w:val="hybridMultilevel"/>
    <w:tmpl w:val="51F82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num w:numId="1">
    <w:abstractNumId w:val="31"/>
  </w:num>
  <w:num w:numId="2">
    <w:abstractNumId w:val="38"/>
  </w:num>
  <w:num w:numId="3">
    <w:abstractNumId w:val="28"/>
  </w:num>
  <w:num w:numId="4">
    <w:abstractNumId w:val="21"/>
  </w:num>
  <w:num w:numId="5">
    <w:abstractNumId w:val="34"/>
  </w:num>
  <w:num w:numId="6">
    <w:abstractNumId w:val="39"/>
  </w:num>
  <w:num w:numId="7">
    <w:abstractNumId w:val="27"/>
  </w:num>
  <w:num w:numId="8">
    <w:abstractNumId w:val="23"/>
  </w:num>
  <w:num w:numId="9">
    <w:abstractNumId w:val="13"/>
  </w:num>
  <w:num w:numId="10">
    <w:abstractNumId w:val="17"/>
  </w:num>
  <w:num w:numId="11">
    <w:abstractNumId w:val="30"/>
  </w:num>
  <w:num w:numId="12">
    <w:abstractNumId w:val="29"/>
  </w:num>
  <w:num w:numId="13">
    <w:abstractNumId w:val="10"/>
  </w:num>
  <w:num w:numId="14">
    <w:abstractNumId w:val="40"/>
  </w:num>
  <w:num w:numId="15">
    <w:abstractNumId w:val="18"/>
  </w:num>
  <w:num w:numId="16">
    <w:abstractNumId w:val="11"/>
  </w:num>
  <w:num w:numId="17">
    <w:abstractNumId w:val="33"/>
  </w:num>
  <w:num w:numId="18">
    <w:abstractNumId w:val="12"/>
  </w:num>
  <w:num w:numId="19">
    <w:abstractNumId w:val="35"/>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9"/>
  </w:num>
  <w:num w:numId="36">
    <w:abstractNumId w:val="26"/>
  </w:num>
  <w:num w:numId="37">
    <w:abstractNumId w:val="24"/>
  </w:num>
  <w:num w:numId="38">
    <w:abstractNumId w:val="32"/>
  </w:num>
  <w:num w:numId="39">
    <w:abstractNumId w:val="36"/>
  </w:num>
  <w:num w:numId="40">
    <w:abstractNumId w:val="15"/>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C8"/>
    <w:rsid w:val="000117D4"/>
    <w:rsid w:val="00024949"/>
    <w:rsid w:val="000310C0"/>
    <w:rsid w:val="000314D7"/>
    <w:rsid w:val="000335B2"/>
    <w:rsid w:val="00044664"/>
    <w:rsid w:val="00045F8B"/>
    <w:rsid w:val="00046D2B"/>
    <w:rsid w:val="000474A2"/>
    <w:rsid w:val="000503EC"/>
    <w:rsid w:val="00056263"/>
    <w:rsid w:val="00064D8A"/>
    <w:rsid w:val="00064F82"/>
    <w:rsid w:val="00065805"/>
    <w:rsid w:val="00066510"/>
    <w:rsid w:val="00071471"/>
    <w:rsid w:val="00072E18"/>
    <w:rsid w:val="00077523"/>
    <w:rsid w:val="00083F05"/>
    <w:rsid w:val="00096A5F"/>
    <w:rsid w:val="000A1688"/>
    <w:rsid w:val="000B5CF1"/>
    <w:rsid w:val="000C089F"/>
    <w:rsid w:val="000C2998"/>
    <w:rsid w:val="000C3928"/>
    <w:rsid w:val="000C5E8E"/>
    <w:rsid w:val="000D46EC"/>
    <w:rsid w:val="000F4751"/>
    <w:rsid w:val="0010524C"/>
    <w:rsid w:val="00111FB1"/>
    <w:rsid w:val="0011305B"/>
    <w:rsid w:val="00113418"/>
    <w:rsid w:val="001352C8"/>
    <w:rsid w:val="001356F1"/>
    <w:rsid w:val="00136994"/>
    <w:rsid w:val="0014128E"/>
    <w:rsid w:val="00151888"/>
    <w:rsid w:val="00152A74"/>
    <w:rsid w:val="00162233"/>
    <w:rsid w:val="00170A2D"/>
    <w:rsid w:val="001752AD"/>
    <w:rsid w:val="00175342"/>
    <w:rsid w:val="001803CC"/>
    <w:rsid w:val="001808BC"/>
    <w:rsid w:val="00182B81"/>
    <w:rsid w:val="00183956"/>
    <w:rsid w:val="0018619D"/>
    <w:rsid w:val="00197F23"/>
    <w:rsid w:val="001A011E"/>
    <w:rsid w:val="001A01AA"/>
    <w:rsid w:val="001A066A"/>
    <w:rsid w:val="001A13E6"/>
    <w:rsid w:val="001A5731"/>
    <w:rsid w:val="001A70AC"/>
    <w:rsid w:val="001B42C3"/>
    <w:rsid w:val="001B729B"/>
    <w:rsid w:val="001C31B0"/>
    <w:rsid w:val="001C5D5E"/>
    <w:rsid w:val="001D3A57"/>
    <w:rsid w:val="001D678D"/>
    <w:rsid w:val="001E036A"/>
    <w:rsid w:val="001E03F8"/>
    <w:rsid w:val="001E1678"/>
    <w:rsid w:val="001E1F3A"/>
    <w:rsid w:val="001E3376"/>
    <w:rsid w:val="001E4688"/>
    <w:rsid w:val="00200A14"/>
    <w:rsid w:val="002069B3"/>
    <w:rsid w:val="00211431"/>
    <w:rsid w:val="00212611"/>
    <w:rsid w:val="00216BBB"/>
    <w:rsid w:val="00223484"/>
    <w:rsid w:val="00226580"/>
    <w:rsid w:val="002329CF"/>
    <w:rsid w:val="00232F5B"/>
    <w:rsid w:val="00241A7F"/>
    <w:rsid w:val="002425EF"/>
    <w:rsid w:val="00244EE3"/>
    <w:rsid w:val="00247252"/>
    <w:rsid w:val="00247C29"/>
    <w:rsid w:val="00257804"/>
    <w:rsid w:val="00260467"/>
    <w:rsid w:val="00261B5B"/>
    <w:rsid w:val="00263EA3"/>
    <w:rsid w:val="00270CD9"/>
    <w:rsid w:val="00273A4C"/>
    <w:rsid w:val="002754C4"/>
    <w:rsid w:val="00284F85"/>
    <w:rsid w:val="00290915"/>
    <w:rsid w:val="0029358B"/>
    <w:rsid w:val="00293953"/>
    <w:rsid w:val="00293F7B"/>
    <w:rsid w:val="002A22E2"/>
    <w:rsid w:val="002A4EF0"/>
    <w:rsid w:val="002A6F81"/>
    <w:rsid w:val="002B40FD"/>
    <w:rsid w:val="002B6CD6"/>
    <w:rsid w:val="002C5CDE"/>
    <w:rsid w:val="002C64F7"/>
    <w:rsid w:val="002C7197"/>
    <w:rsid w:val="002E65C8"/>
    <w:rsid w:val="002F41F2"/>
    <w:rsid w:val="00301BF3"/>
    <w:rsid w:val="0030208D"/>
    <w:rsid w:val="003057AA"/>
    <w:rsid w:val="00306FFB"/>
    <w:rsid w:val="00323418"/>
    <w:rsid w:val="00324D29"/>
    <w:rsid w:val="003357BF"/>
    <w:rsid w:val="003372CB"/>
    <w:rsid w:val="0034411E"/>
    <w:rsid w:val="003454D6"/>
    <w:rsid w:val="003459FF"/>
    <w:rsid w:val="003472F0"/>
    <w:rsid w:val="003517FC"/>
    <w:rsid w:val="00353328"/>
    <w:rsid w:val="003634C2"/>
    <w:rsid w:val="00364FAD"/>
    <w:rsid w:val="0036738F"/>
    <w:rsid w:val="0036759C"/>
    <w:rsid w:val="00367AE5"/>
    <w:rsid w:val="00367D71"/>
    <w:rsid w:val="00372265"/>
    <w:rsid w:val="00380F34"/>
    <w:rsid w:val="0038150A"/>
    <w:rsid w:val="0039100B"/>
    <w:rsid w:val="003B43A6"/>
    <w:rsid w:val="003B6E75"/>
    <w:rsid w:val="003B7DA1"/>
    <w:rsid w:val="003C64BE"/>
    <w:rsid w:val="003D0379"/>
    <w:rsid w:val="003D2574"/>
    <w:rsid w:val="003D4C59"/>
    <w:rsid w:val="003D7EC1"/>
    <w:rsid w:val="003F4267"/>
    <w:rsid w:val="00404032"/>
    <w:rsid w:val="0040736F"/>
    <w:rsid w:val="00412C1F"/>
    <w:rsid w:val="00413B7C"/>
    <w:rsid w:val="00421337"/>
    <w:rsid w:val="00421CB2"/>
    <w:rsid w:val="0042511B"/>
    <w:rsid w:val="004268B9"/>
    <w:rsid w:val="00433B96"/>
    <w:rsid w:val="004440F1"/>
    <w:rsid w:val="004456DD"/>
    <w:rsid w:val="00446CDF"/>
    <w:rsid w:val="004521B7"/>
    <w:rsid w:val="004530C9"/>
    <w:rsid w:val="00453150"/>
    <w:rsid w:val="00457FCC"/>
    <w:rsid w:val="0046065A"/>
    <w:rsid w:val="00462AB5"/>
    <w:rsid w:val="00465EAF"/>
    <w:rsid w:val="004738C5"/>
    <w:rsid w:val="00475803"/>
    <w:rsid w:val="00475C6F"/>
    <w:rsid w:val="00484E09"/>
    <w:rsid w:val="0048750F"/>
    <w:rsid w:val="00491046"/>
    <w:rsid w:val="004A2AC7"/>
    <w:rsid w:val="004A6D2F"/>
    <w:rsid w:val="004B6F63"/>
    <w:rsid w:val="004C2887"/>
    <w:rsid w:val="004C5F84"/>
    <w:rsid w:val="004D2626"/>
    <w:rsid w:val="004D6E26"/>
    <w:rsid w:val="004D77D3"/>
    <w:rsid w:val="004E2959"/>
    <w:rsid w:val="004F1688"/>
    <w:rsid w:val="004F20EF"/>
    <w:rsid w:val="00501C0A"/>
    <w:rsid w:val="0050321C"/>
    <w:rsid w:val="00505284"/>
    <w:rsid w:val="00520557"/>
    <w:rsid w:val="00535F44"/>
    <w:rsid w:val="00543611"/>
    <w:rsid w:val="0054712D"/>
    <w:rsid w:val="00547EF6"/>
    <w:rsid w:val="00553EC0"/>
    <w:rsid w:val="005570B5"/>
    <w:rsid w:val="00557C37"/>
    <w:rsid w:val="00562826"/>
    <w:rsid w:val="00567E18"/>
    <w:rsid w:val="00572E7E"/>
    <w:rsid w:val="00574469"/>
    <w:rsid w:val="00575F5F"/>
    <w:rsid w:val="0057634D"/>
    <w:rsid w:val="00581805"/>
    <w:rsid w:val="0058375B"/>
    <w:rsid w:val="00585F76"/>
    <w:rsid w:val="00597513"/>
    <w:rsid w:val="005A274B"/>
    <w:rsid w:val="005A34E4"/>
    <w:rsid w:val="005B17F2"/>
    <w:rsid w:val="005B7FB0"/>
    <w:rsid w:val="005C02A6"/>
    <w:rsid w:val="005C35A5"/>
    <w:rsid w:val="005C577C"/>
    <w:rsid w:val="005D0621"/>
    <w:rsid w:val="005D1E27"/>
    <w:rsid w:val="005D1FE2"/>
    <w:rsid w:val="005D2A3E"/>
    <w:rsid w:val="005E022E"/>
    <w:rsid w:val="005E5215"/>
    <w:rsid w:val="005F018B"/>
    <w:rsid w:val="005F6CD7"/>
    <w:rsid w:val="005F7F7E"/>
    <w:rsid w:val="006038B6"/>
    <w:rsid w:val="006039DD"/>
    <w:rsid w:val="00611A51"/>
    <w:rsid w:val="006126A3"/>
    <w:rsid w:val="00614693"/>
    <w:rsid w:val="00614759"/>
    <w:rsid w:val="00614AA3"/>
    <w:rsid w:val="00615465"/>
    <w:rsid w:val="00623C2F"/>
    <w:rsid w:val="00633578"/>
    <w:rsid w:val="00637068"/>
    <w:rsid w:val="00642C86"/>
    <w:rsid w:val="00647266"/>
    <w:rsid w:val="00650811"/>
    <w:rsid w:val="00651122"/>
    <w:rsid w:val="00661D3E"/>
    <w:rsid w:val="006710FC"/>
    <w:rsid w:val="006751FC"/>
    <w:rsid w:val="00676BE2"/>
    <w:rsid w:val="006825AF"/>
    <w:rsid w:val="00686B98"/>
    <w:rsid w:val="00692627"/>
    <w:rsid w:val="00693CE2"/>
    <w:rsid w:val="006969E7"/>
    <w:rsid w:val="006A3643"/>
    <w:rsid w:val="006A70B8"/>
    <w:rsid w:val="006B226C"/>
    <w:rsid w:val="006B38E2"/>
    <w:rsid w:val="006B492C"/>
    <w:rsid w:val="006B5CD9"/>
    <w:rsid w:val="006C2A29"/>
    <w:rsid w:val="006C64CF"/>
    <w:rsid w:val="006D17B1"/>
    <w:rsid w:val="006D3FE1"/>
    <w:rsid w:val="006D4752"/>
    <w:rsid w:val="006D642F"/>
    <w:rsid w:val="006D708A"/>
    <w:rsid w:val="006E05D0"/>
    <w:rsid w:val="006E14C1"/>
    <w:rsid w:val="006E4450"/>
    <w:rsid w:val="006F0292"/>
    <w:rsid w:val="006F27FA"/>
    <w:rsid w:val="006F416B"/>
    <w:rsid w:val="006F519B"/>
    <w:rsid w:val="00700C31"/>
    <w:rsid w:val="00707900"/>
    <w:rsid w:val="00712B67"/>
    <w:rsid w:val="00713675"/>
    <w:rsid w:val="00715823"/>
    <w:rsid w:val="00730D7D"/>
    <w:rsid w:val="00737B93"/>
    <w:rsid w:val="00744021"/>
    <w:rsid w:val="0074546F"/>
    <w:rsid w:val="00745BF0"/>
    <w:rsid w:val="0075302C"/>
    <w:rsid w:val="00754210"/>
    <w:rsid w:val="007614D7"/>
    <w:rsid w:val="007615FE"/>
    <w:rsid w:val="0076314E"/>
    <w:rsid w:val="00765530"/>
    <w:rsid w:val="0076655C"/>
    <w:rsid w:val="007742DC"/>
    <w:rsid w:val="00786935"/>
    <w:rsid w:val="007907B0"/>
    <w:rsid w:val="00791437"/>
    <w:rsid w:val="007A512C"/>
    <w:rsid w:val="007A6E34"/>
    <w:rsid w:val="007B0C2C"/>
    <w:rsid w:val="007B278E"/>
    <w:rsid w:val="007C4382"/>
    <w:rsid w:val="007C5C23"/>
    <w:rsid w:val="007E2A26"/>
    <w:rsid w:val="007F2348"/>
    <w:rsid w:val="00803F07"/>
    <w:rsid w:val="0080749A"/>
    <w:rsid w:val="00812A02"/>
    <w:rsid w:val="00821FB8"/>
    <w:rsid w:val="00822ACD"/>
    <w:rsid w:val="00827C41"/>
    <w:rsid w:val="00853B7D"/>
    <w:rsid w:val="00855C66"/>
    <w:rsid w:val="0086552B"/>
    <w:rsid w:val="0086611C"/>
    <w:rsid w:val="00871EE4"/>
    <w:rsid w:val="00881991"/>
    <w:rsid w:val="0088254F"/>
    <w:rsid w:val="008A615E"/>
    <w:rsid w:val="008B293F"/>
    <w:rsid w:val="008B7371"/>
    <w:rsid w:val="008B7DFC"/>
    <w:rsid w:val="008D211E"/>
    <w:rsid w:val="008D3DDB"/>
    <w:rsid w:val="008E44C1"/>
    <w:rsid w:val="008F573F"/>
    <w:rsid w:val="009034EC"/>
    <w:rsid w:val="0091085F"/>
    <w:rsid w:val="00913A4A"/>
    <w:rsid w:val="00926684"/>
    <w:rsid w:val="0093067A"/>
    <w:rsid w:val="009341BB"/>
    <w:rsid w:val="00941C60"/>
    <w:rsid w:val="00941FD1"/>
    <w:rsid w:val="00946345"/>
    <w:rsid w:val="00966D42"/>
    <w:rsid w:val="00971689"/>
    <w:rsid w:val="0097369A"/>
    <w:rsid w:val="00973E90"/>
    <w:rsid w:val="00975B07"/>
    <w:rsid w:val="00980B4A"/>
    <w:rsid w:val="00996637"/>
    <w:rsid w:val="009A79AE"/>
    <w:rsid w:val="009C0A0A"/>
    <w:rsid w:val="009C226E"/>
    <w:rsid w:val="009C3EB5"/>
    <w:rsid w:val="009C6F45"/>
    <w:rsid w:val="009C70B4"/>
    <w:rsid w:val="009D422D"/>
    <w:rsid w:val="009E25B4"/>
    <w:rsid w:val="009E3D0A"/>
    <w:rsid w:val="009E51FC"/>
    <w:rsid w:val="009F0525"/>
    <w:rsid w:val="009F1D28"/>
    <w:rsid w:val="009F7618"/>
    <w:rsid w:val="00A0274C"/>
    <w:rsid w:val="00A04D23"/>
    <w:rsid w:val="00A06766"/>
    <w:rsid w:val="00A1088B"/>
    <w:rsid w:val="00A13765"/>
    <w:rsid w:val="00A21B12"/>
    <w:rsid w:val="00A23F80"/>
    <w:rsid w:val="00A3012C"/>
    <w:rsid w:val="00A3677A"/>
    <w:rsid w:val="00A46E98"/>
    <w:rsid w:val="00A6352B"/>
    <w:rsid w:val="00A66618"/>
    <w:rsid w:val="00A70034"/>
    <w:rsid w:val="00A701B5"/>
    <w:rsid w:val="00A714BB"/>
    <w:rsid w:val="00A77147"/>
    <w:rsid w:val="00A92D8F"/>
    <w:rsid w:val="00A96EE4"/>
    <w:rsid w:val="00AA714E"/>
    <w:rsid w:val="00AB0AE1"/>
    <w:rsid w:val="00AB2988"/>
    <w:rsid w:val="00AB521F"/>
    <w:rsid w:val="00AB7999"/>
    <w:rsid w:val="00AD21D6"/>
    <w:rsid w:val="00AD3292"/>
    <w:rsid w:val="00AD3338"/>
    <w:rsid w:val="00AE7AF0"/>
    <w:rsid w:val="00B46176"/>
    <w:rsid w:val="00B500CA"/>
    <w:rsid w:val="00B6731D"/>
    <w:rsid w:val="00B70413"/>
    <w:rsid w:val="00B84B34"/>
    <w:rsid w:val="00B86314"/>
    <w:rsid w:val="00B87DB2"/>
    <w:rsid w:val="00B9392A"/>
    <w:rsid w:val="00BA1C2E"/>
    <w:rsid w:val="00BC200B"/>
    <w:rsid w:val="00BC4756"/>
    <w:rsid w:val="00BC69A4"/>
    <w:rsid w:val="00BD2069"/>
    <w:rsid w:val="00BD3FF6"/>
    <w:rsid w:val="00BD579D"/>
    <w:rsid w:val="00BE0680"/>
    <w:rsid w:val="00BE305F"/>
    <w:rsid w:val="00BE7BA3"/>
    <w:rsid w:val="00BF5682"/>
    <w:rsid w:val="00BF7B09"/>
    <w:rsid w:val="00C00488"/>
    <w:rsid w:val="00C01A1D"/>
    <w:rsid w:val="00C03B1C"/>
    <w:rsid w:val="00C20A95"/>
    <w:rsid w:val="00C2692F"/>
    <w:rsid w:val="00C27C33"/>
    <w:rsid w:val="00C31163"/>
    <w:rsid w:val="00C3207C"/>
    <w:rsid w:val="00C33EA6"/>
    <w:rsid w:val="00C400E1"/>
    <w:rsid w:val="00C41187"/>
    <w:rsid w:val="00C44B9D"/>
    <w:rsid w:val="00C463D0"/>
    <w:rsid w:val="00C50F5D"/>
    <w:rsid w:val="00C63C31"/>
    <w:rsid w:val="00C63C35"/>
    <w:rsid w:val="00C757A0"/>
    <w:rsid w:val="00C760DE"/>
    <w:rsid w:val="00C82630"/>
    <w:rsid w:val="00C85B4E"/>
    <w:rsid w:val="00C870FC"/>
    <w:rsid w:val="00C907F7"/>
    <w:rsid w:val="00C914E5"/>
    <w:rsid w:val="00C96839"/>
    <w:rsid w:val="00CA2103"/>
    <w:rsid w:val="00CB5126"/>
    <w:rsid w:val="00CB6B99"/>
    <w:rsid w:val="00CC484D"/>
    <w:rsid w:val="00CC601D"/>
    <w:rsid w:val="00CC7A83"/>
    <w:rsid w:val="00CE3C97"/>
    <w:rsid w:val="00CE4C87"/>
    <w:rsid w:val="00CE544A"/>
    <w:rsid w:val="00D11E1C"/>
    <w:rsid w:val="00D160B0"/>
    <w:rsid w:val="00D17F94"/>
    <w:rsid w:val="00D223FC"/>
    <w:rsid w:val="00D26D1E"/>
    <w:rsid w:val="00D32E7F"/>
    <w:rsid w:val="00D474CF"/>
    <w:rsid w:val="00D5547E"/>
    <w:rsid w:val="00D5664D"/>
    <w:rsid w:val="00D860E2"/>
    <w:rsid w:val="00D869A1"/>
    <w:rsid w:val="00D933C6"/>
    <w:rsid w:val="00DA413F"/>
    <w:rsid w:val="00DA4584"/>
    <w:rsid w:val="00DA614B"/>
    <w:rsid w:val="00DB0E68"/>
    <w:rsid w:val="00DB52A3"/>
    <w:rsid w:val="00DB7AD7"/>
    <w:rsid w:val="00DC3060"/>
    <w:rsid w:val="00DE0FB2"/>
    <w:rsid w:val="00DE3389"/>
    <w:rsid w:val="00DF093E"/>
    <w:rsid w:val="00DF0E8E"/>
    <w:rsid w:val="00DF4F51"/>
    <w:rsid w:val="00E01F42"/>
    <w:rsid w:val="00E034CD"/>
    <w:rsid w:val="00E14AB2"/>
    <w:rsid w:val="00E206D6"/>
    <w:rsid w:val="00E31F72"/>
    <w:rsid w:val="00E3366E"/>
    <w:rsid w:val="00E33CF1"/>
    <w:rsid w:val="00E362EC"/>
    <w:rsid w:val="00E458C0"/>
    <w:rsid w:val="00E52086"/>
    <w:rsid w:val="00E52CD1"/>
    <w:rsid w:val="00E543A6"/>
    <w:rsid w:val="00E60479"/>
    <w:rsid w:val="00E61D73"/>
    <w:rsid w:val="00E73684"/>
    <w:rsid w:val="00E76E02"/>
    <w:rsid w:val="00E818D6"/>
    <w:rsid w:val="00E87F7A"/>
    <w:rsid w:val="00E90684"/>
    <w:rsid w:val="00E9191F"/>
    <w:rsid w:val="00E91F86"/>
    <w:rsid w:val="00E94B3E"/>
    <w:rsid w:val="00E96BD7"/>
    <w:rsid w:val="00EA0A4F"/>
    <w:rsid w:val="00EA0DB1"/>
    <w:rsid w:val="00EA0EE9"/>
    <w:rsid w:val="00EB175A"/>
    <w:rsid w:val="00EC332E"/>
    <w:rsid w:val="00EC654D"/>
    <w:rsid w:val="00ED0192"/>
    <w:rsid w:val="00ED37D2"/>
    <w:rsid w:val="00ED52CA"/>
    <w:rsid w:val="00ED5860"/>
    <w:rsid w:val="00EE35C9"/>
    <w:rsid w:val="00EE711E"/>
    <w:rsid w:val="00EF10A9"/>
    <w:rsid w:val="00EF3B36"/>
    <w:rsid w:val="00EF47A4"/>
    <w:rsid w:val="00F045FB"/>
    <w:rsid w:val="00F05ECA"/>
    <w:rsid w:val="00F20286"/>
    <w:rsid w:val="00F254F7"/>
    <w:rsid w:val="00F3566E"/>
    <w:rsid w:val="00F375FB"/>
    <w:rsid w:val="00F41AC1"/>
    <w:rsid w:val="00F4367A"/>
    <w:rsid w:val="00F4395B"/>
    <w:rsid w:val="00F445B1"/>
    <w:rsid w:val="00F45CD4"/>
    <w:rsid w:val="00F476CE"/>
    <w:rsid w:val="00F600B8"/>
    <w:rsid w:val="00F66DCA"/>
    <w:rsid w:val="00F74F53"/>
    <w:rsid w:val="00F7606D"/>
    <w:rsid w:val="00F81670"/>
    <w:rsid w:val="00F82024"/>
    <w:rsid w:val="00F95BC9"/>
    <w:rsid w:val="00FA2FBE"/>
    <w:rsid w:val="00FA624C"/>
    <w:rsid w:val="00FA76B1"/>
    <w:rsid w:val="00FB02CD"/>
    <w:rsid w:val="00FB09EE"/>
    <w:rsid w:val="00FB77F0"/>
    <w:rsid w:val="00FC4763"/>
    <w:rsid w:val="00FD0FAC"/>
    <w:rsid w:val="00FD1DFA"/>
    <w:rsid w:val="00FD4966"/>
    <w:rsid w:val="00FE1FCD"/>
    <w:rsid w:val="00FE57DC"/>
    <w:rsid w:val="00FF0BF2"/>
    <w:rsid w:val="00FF5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CF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395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395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30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14410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5409643">
      <w:bodyDiv w:val="1"/>
      <w:marLeft w:val="0"/>
      <w:marRight w:val="0"/>
      <w:marTop w:val="0"/>
      <w:marBottom w:val="0"/>
      <w:divBdr>
        <w:top w:val="none" w:sz="0" w:space="0" w:color="auto"/>
        <w:left w:val="none" w:sz="0" w:space="0" w:color="auto"/>
        <w:bottom w:val="none" w:sz="0" w:space="0" w:color="auto"/>
        <w:right w:val="none" w:sz="0" w:space="0" w:color="auto"/>
      </w:divBdr>
    </w:div>
    <w:div w:id="11655592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12119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2299291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13311814">
      <w:bodyDiv w:val="1"/>
      <w:marLeft w:val="0"/>
      <w:marRight w:val="0"/>
      <w:marTop w:val="0"/>
      <w:marBottom w:val="0"/>
      <w:divBdr>
        <w:top w:val="none" w:sz="0" w:space="0" w:color="auto"/>
        <w:left w:val="none" w:sz="0" w:space="0" w:color="auto"/>
        <w:bottom w:val="none" w:sz="0" w:space="0" w:color="auto"/>
        <w:right w:val="none" w:sz="0" w:space="0" w:color="auto"/>
      </w:divBdr>
    </w:div>
    <w:div w:id="1849171710">
      <w:bodyDiv w:val="1"/>
      <w:marLeft w:val="0"/>
      <w:marRight w:val="0"/>
      <w:marTop w:val="0"/>
      <w:marBottom w:val="0"/>
      <w:divBdr>
        <w:top w:val="none" w:sz="0" w:space="0" w:color="auto"/>
        <w:left w:val="none" w:sz="0" w:space="0" w:color="auto"/>
        <w:bottom w:val="none" w:sz="0" w:space="0" w:color="auto"/>
        <w:right w:val="none" w:sz="0" w:space="0" w:color="auto"/>
      </w:divBdr>
    </w:div>
    <w:div w:id="1934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bishop@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049A-0823-4A3D-9014-4D9B0F51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B34468D4</Template>
  <TotalTime>57</TotalTime>
  <Pages>7</Pages>
  <Words>1836</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charvey</dc:creator>
  <cp:keywords/>
  <cp:lastModifiedBy>JMitchell</cp:lastModifiedBy>
  <cp:revision>15</cp:revision>
  <cp:lastPrinted>2020-02-03T12:00:00Z</cp:lastPrinted>
  <dcterms:created xsi:type="dcterms:W3CDTF">2020-02-13T17:03:00Z</dcterms:created>
  <dcterms:modified xsi:type="dcterms:W3CDTF">2020-02-25T14:29:00Z</dcterms:modified>
</cp:coreProperties>
</file>